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PE19.025148 vom 11. Februar 2022</w:t>
      </w:r>
    </w:p>
    <w:p>
      <w:r>
        <w:t>VD Tribunal cantonal, 2022-02-11, FR</w:t>
      </w:r>
    </w:p>
    <w:p>
      <w:r>
        <w:rPr>
          <w:b/>
        </w:rPr>
        <w:t xml:space="preserve">Quelle: </w:t>
      </w:r>
      <w:r>
        <w:t>https://mcp.opencaselaw.ch/entscheid/vd_gerichte_PE19.025148</w:t>
      </w:r>
    </w:p>
    <w:p>
      <w:r>
        <w:t>FR: VD_GERICHTE PE19.025148 du 11 février 2022</w:t>
      </w:r>
    </w:p>
    <w:p>
      <w:r>
        <w:t>IT: VD_GERICHTE PE19.025148 del 11 febbraio 2022</w:t>
      </w:r>
    </w:p>
    <w:p>
      <w:pPr>
        <w:pStyle w:val="Heading2"/>
      </w:pPr>
      <w:r>
        <w:t>Erwägungen</w:t>
      </w:r>
    </w:p>
    <w:p>
      <w:r>
        <w:rPr>
          <w:b/>
        </w:rPr>
        <w:t>E. 14</w:t>
      </w:r>
    </w:p>
    <w:p>
      <w:r>
        <w:t>décembre 2019. Partant, on doit considérer qu’en tant que simples participants, il ne pouvait être exigé d’eux qu’ils sollicitent une autorisation préalable. Les appelants doivent dès lors être libéré de la contravention à la LContr en relation avec l’art. 41 RGP. La violation de l’art. 26 RGP ne sera pas non plus retenue. En effet, l’acte d’accusation ne comporte pas les éléments de fait décrivant le trouble à la tranquillité et à l’ordre publics. Il ne traite que de l’entrave aux services publics (art. 239 CP), de l’empêchement aux actes de l’autorité (art. 286 CP) et des perturbations causées aux usagers de la route (art. 90 al. 1 LCR). Il faut dès lors constater une violation de la maxime d’accusation (art. 9 CPP). En conséquence, l’appel doit être admis s’agissant des deux points qui précèdent. 7. Les appelants considèrent que leur liberté de manifester a été violée par les autorités et, partant, qu’aucune infraction ne saurait leur être reprochée. Implicitement, ils font ainsi valoir l’application de l’art. 14 CP, en soutenant, en substance, que leurs actes se seraient inscrits dans une démarche de protestation politique fondée sur les libertés d'expression et de réunion. Ils estiment en outre que leur action était proportionnée. 7.1</w:t>
      </w:r>
    </w:p>
    <w:p>
      <w:r>
        <w:t>- 47 - 7.1.1 L'art. 14 CP dispose que quiconque agit comme la loi l'ordonne ou l'autorise se comporte de manière licite, même si l'acte est punissable en vertu du code pénal ou d'une autre loi. 7.1.2 7.1.2.1 Les libertés d'opinion et d'information sont garanties par l'art.</w:t>
      </w:r>
    </w:p>
    <w:p>
      <w:r>
        <w:rPr>
          <w:b/>
        </w:rPr>
        <w:t>E. 16</w:t>
      </w:r>
    </w:p>
    <w:p>
      <w:r>
        <w:t>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6B_655/2022 du 31 août 2022 consid. 4.2). En vertu de l'art. 11 par. 1 CEDH, qui offre des garanties comparables à celles de l'art. 22 Cst. (ATF 132 I 256 consid. 3 ; TF 6B_1098/2022 du 31 juillet 2023 consid. 6.1.2 ; TF 6B_837/2022 du 17 avril 2023 consid. 3.1.1), toute personne a notamment droit à la liberté de réunion pacifique et à la liberté d'association. Au regard de son importance, le droit à la liberté de réunion ne doit pas faire l'objet d'une interprétation restrictive (arrêts de la CourEDH Navalnyy c. Russie du 15 novembre 2018 [GC], § 98 ; Kudrevicius et autres c. Lituanie du 15 octobre 2015 [GC], § 91 ; Taranenko c. Russie du 15 mai 2014 [GC], § 65). Néanmoins, son exercice est soumis aux restrictions qui, prévues par la loi, constituent des mesures nécessaires, dans une société démocratique, à la sécurité nationale, à la sûreté publique, à la défense de l'ordre et à la</w:t>
      </w:r>
    </w:p>
    <w:p>
      <w:r>
        <w:t>- 48 - prévention du crime, à la protection de la santé ou de la morale, ou à la protection des droits et libertés d'autrui (art. 11 § 2, 1ère phrase, CEDH). 7.1.2.2 Selon la jurisprudence du Tribunal fédéral, il existe en principe, sur la base de la liberté d'opinion, d'information et de réunion, un droit conditionnel à l'usage accru du domaine public pour des manifestations avec appel au public (ATF 144 I 50 consid. 6.3 ; ATF 138 I 274 consid. 2.2.2 ; ATF 132 I 256 consid. 3 ; TF 6B_655/2022 précité consid. 4.3).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(AF 127 I 164 consid. 3 ; TF 6B_655/2022 précité). Plus simplement, il s'agit d'assurer l'utilisation adéquate des installations publiques disponibles dans l'intérêt de la collectivité et du voisinage ainsi que de limiter l'atteinte portée par la manifestation aux libertés des tiers non-manifestants (ATF 143 I 147 consid. 3.2 ; TF 6B_655/2022 précité consid. 4.3). 7.1.2.3 La Haute cour a confirmé que les autorités doivent pouvoir sanctionner ceux qui participent à une manifestation non autorisée, sans quoi une procédure d'autorisation serait illusoire (arrêt de la CourEDH Ziliberberg c. Moldova, du 1er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w:t>
      </w:r>
    </w:p>
    <w:p>
      <w:r>
        <w:t>- 49 - ait pas de disproportion entre le non-respect des conditions et la sanction (ATF 105 Ia 15 ;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7.1.2.4 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Dans une autre affaire, des</w:t>
      </w:r>
    </w:p>
    <w:p>
      <w:r>
        <w:t>- 50 -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46-47). 7.1.2.5 Dans un arrêt récent concernant la manifestation du 14 décembre 2019 et plus particulièrement le blocage de la rue Centrale, le Tribunal fédéral a confirmé que la condamnation des participants concernés par la cour cantonale ne violait pas l’art. 11 CEDH (TF 6B_1460/2022 du 16 janvier 2024 consid. 10). 7.2 En l’espèce, il est admis que la manifestation n’était pas autorisée. En outre, il est établi que les autorités municipales ne disposaient pas des renseignements nécessaires qui leur auraient permis de garantir le bon déroulement de la manifestation, respectivement d’assurer la sécurité de la circulation ainsi que la continuité de l'exploitation des transports publics et des véhicules ; en particulier, elles ne connaissaient ni la durée de la manifestation, ni les lieux ciblés par les participants ni la méthode qui serait utilisée pour bloquer la circulation.</w:t>
      </w:r>
    </w:p>
    <w:p>
      <w:r>
        <w:t>- 51 - Par ailleurs, force est de constater que, quoi qu’en disent les appelants, la police a fait preuve de tolérance à leur égard et a respecté leur liberté de se réunir puisque, malgré l’entrave majeure causée à la circulation publique, les manifestants ont pu librement exprimer leurs revendications durant plus de trois heures, soit entre 10h00 et 13h15, heure à laquelle les premières sommations ont été effectuées. Bien avant l’intervention de la police, on doit cependant considérer que l’ampleur de la manifestation dépassait celle qu'impliquait l'exercice normal de la liberté de réunion à laquelle les manifestants pouvaient prétendre, étant rappelé, sous l’angle de la proportionnalité, que le droit de manifester ne protège pas la désobéissance et le choix de désobéir pour donner de la visibilité à ses revendications. Ainsi, compte tenu de l’importance des perturbations causées, les appelants, en refusant de se disperser, s’exposaient à des sanctions de nature pénale. Partant, le moyen relatif à une violation de la liberté de manifester doit être rejeté. 8. Les appelants considèrent avoir agi en état de nécessité. En cela, ils invoquent implicitement l’art. 17 CP. Ce moyen doit être rejeté. En effet, le Tribunal fédéral a d'ores et déjà eu l'occasion de dire que les phénomènes naturels liés au réchauffement climatique, compris globalement et abstraitement, ne sauraient répondre à la notion juridique de danger imminent au sens de l'art. 17 CP (ATF 147 IV 297 consid. 2.5 ; TF 6B_145/2021 du 3 janvier 2022 consid. 4). 9. Lors des débats du 14 septembre 2022, les appelants ont plaidé l’exemption de peine, invoquant implicitement l’application de l’art. 52 CP. 9.1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w:t>
      </w:r>
    </w:p>
    <w:p>
      <w:r>
        <w:t>- 52 -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9.2 En l’occurrence, les conditions d’application de l’art 52 CP ne sont pas réunies. En effet, les comportements incriminés n'ont pas été sans conséquence pour les très nombreuses personnes gênées par cette manifestation de vaste ampleur qui a fortement perturbé, durant plusieurs heures, le trafic et les déplacements sur les principaux axes de circulation de la capitale vaudoise. On ne saurait dès lors considérer qu'il s'agit d'une affaire d'une importance négligeable au sens de l’art. 52 CP (cf. par exemple CAPE 24 janvier 2022/48 consid. 5.2, concernant des faits analogues). Si les appelants ont certes assurément agi pour défendre une cause idéale et que la défense du climat a tendance à gagner des partisans et à progresser dans l’échelle des valeurs éthiques généralement reconnues, elle peut parfaitement être défendue légalement, comme de nombreux et honorables militants s’y emploient (CAPE 17 juin 2021/185 consid. 6.1.3.1). 10. Les appelants contestent la peine pécuniaire prononcée à leur encontre. Ils considèrent qu’ils devraient être acquittés compte tenu, d’une part, de l’existence d’un mobile honorable au sens de l’art. 48 let. a ch. 1 CP et, d’autre part, de l’écoulement du temps depuis les faits reprochés. Par ailleurs, G.________ fait grief aux premiers juges d’avoir retenu à charge qu’elle était conseillère communale. 10. 10.1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- 53 -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10.2 Conformément à l'art. 48 let. a ch. 1 CP, le juge atténue la peine si l'auteur a agi en cédant à un mobile honorable. Le sentiment du juge est déterminant pour décider s’il convient d’admettre la circonstance atténuante du mobile honorable (Dupuis et al., op. cit., n. 5 ad. 48 CP).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w:t>
      </w:r>
    </w:p>
    <w:p>
      <w:r>
        <w:t>- 54 -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 Selon la jurisprudence, un mobile honorable,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(ATF 149 IV 217 consid. 1.3.7). 10.3 En l’occurrence, les enjeux liés aux conséquences néfastes du dérèglement climatique et à la nécessité d’adopter des mesures pour endiguer ce phénomène n’est ni contesté ni contestable. De même, on ne saurait nier aux appelants d’avoir agi, avec sincérité, pour défendre une cause idéale et sensibiliser l’opinion publique sur les graves répercussions liées au dérèglement climatique. Toutefois, avec le premier juge, il faut constater que les moyens utilisés par les appelants pour exprimer leurs préoccupations et leurs revendications ont contrevenu de manière importante aux dispositions légales. Les appelants ont ainsi participé à une manifestation sur le domaine public alors même qu’aucune autorisation n’avait été délivrée. Ils ont délibérément choisi la voie de la</w:t>
      </w:r>
    </w:p>
    <w:p>
      <w:r>
        <w:t>- 55 - désobéissance civile, en entravant la circulation routière ainsi que le bon fonctionnement des services d’intérêt général. Leur action militante s’est inscrite dans la durée et a nécessité l’intervention des forces de l’ordre. Les appelants en outre refusé de quitter les lieux lorsqu’ils ont été sommés de le faire, puis de collaborer avec la police, empêchant leur évacuation aussi longtemps qu’ils l’ont pu. Au vu de la jurisprudence du Tribunal fédéral, dans de telles circonstances, l’atteinte à la liberté d’autrui ne peut pas être qualifiée de modeste, contrôlée et limitée dans le temps, de sorte qu’on ne saurait retenir un mobile honorable au sens de l’art. 48 let. a ch. 1 CP. A décharge, on relèvera que les appelants n’ont à aucun moment fait usage de la violence, que ce soit à l’égard d’autrui ou de biens. En outre, comme exposé ci-dessus, leur mobile n’était pas égoïste. Enfin, les appelants ont, pour l’essentiel, reconnu les faits reprochés. En revanche, l’écoulement du temps ne justifie aucune atténuation de la peine ni a fortiori une exemption de peine. En effet, les autorités pénales ont fait diligence, la durée de la procédure étant uniquement due au fait que les appelants ont contesté les ordonnances pénales et jugements rendus à leur encontre. En définitive, au vu des éléments à charge et décharge, la culpabilité de chacun des appelants peut encore être qualifiée de relativement légère. Au vu des moyens mis en œuvre pour bloquer la rue et de la durée durant laquelle le trafic des bus a été perturbé, l’entrave aux services d’intérêt général constitue l’infraction la plus grave. Elle sera sanctionnée, pour chacun des appelants, d’une peine pécuniaire de 10 jours-amende. Cette peine sera augmentée de 5 jours pour réprimer l’empêchement d’accomplir un acte officiel. S’agissant du montant du jour-amende, il faut constater, à l’instar du premier juge, qu’à l‘exception de F.________ et K.________, les appelants ont des situations financières modestes. Ainsi, en ce qui les concerne, le montant du jour-amende, fixé à 30 fr., peut être confirmé. Il en sera de même du montant de 200 fr. fixé pour F.________ et K.________, qui bénéficient d’une situation économique plus confortable. Les conditions objectives et subjectives du sursis sont remplies. Le délai d’épreuve fixé en première instance à 4 ans pour</w:t>
      </w:r>
    </w:p>
    <w:p>
      <w:r>
        <w:t>- 56 - S.________ doit être confirmé, celle-ci présentant deux antécédents au casier judiciaire. Enfin, une amende doit sanctionner la contravention à la LCR. Compte tenu des situations personnelles et financières, celle-ci sera fixée à 400 fr. pour F.________ et K.________, et à 100 fr. pour les autres appelants. 11. Lors des débats du 14 septembre 2022, les appelants ont indiqué ne pas comprendre les différences de frais mis à leur charge en première instance. 11.1 Selon l’art. 426 al. 1 CPP, le prévenu supporte les frais de procédure s’il est condamné. Aux termes de l’art. 2 al. 1 TPFContr (tarif des frais de procédure pour le Ministère public et les autorités administratives compétentes en matière de contraventions du 15 décembre 2020 ; BLV 312.03.3), l’émolument est établi sur la base du nombre de pages des procès-verbaux des opérations, des décisions et des auditions y compris les auditions de police. En outre, cet émolument est de 75 fr. la page ou fraction de page pour le Ministère public (art. 14 al. 1 TPFContr). Enfin, s’agissant des débats devant le Tribunal de police, l’émolument est fondé sur la demi-journée d’audience à raison de 700 francs (art. 19 al. 1 TFIP [Tarif des frais de procédure et indemnités en matière pénale du 28 septembre 2010 ; BLV 312.03.1]). 11.2 Le premier juge a considéré que chaque prévenu devait supporter, d’une part, ses propres frais, à savoir ceux résultant de la procédure devant le Ministère public, et, d’autres parts, une part des frais communs de la cause, soit ceux résultant de l’audience de jugement.</w:t>
      </w:r>
    </w:p>
    <w:p>
      <w:r>
        <w:t>- 57 - S’agissant de la procédure devant le Ministère public, il ressort de la liste de frais que, pour chaque prévenu, un montant de 200 fr. a été comptabilisé en trop pour des ordonnances pénales devenues caduques à la suite des oppositions formées. Il convient donc de supprimer ce poste, étant relevé qu’à défaut, les pages d’instruction facturées seraient en trop. Pour le reste, l’émolument doit être établi sur la base du nombre de pages des procès-verbaux des opérations, des décisions et des auditions, au tarif de 75 fr. la page ou fraction de page (art. 2 al. 1 et 14 al. 1 TPF Contr). A cet égard, la liste de frais, dont le contenu n’est pas contesté par les appelants, mentionne 6 pages par prévenu, correspondant à un émolument de 450 fr. (6 x 75 fr.), étant relevé que chaque dossier, avant la jonction des causes, était constitué du même nombre de pages. A ce montant, il convient d’ajouter l’émolument de jugement, soit 116 fr. 65 par prévenu (art. 19 al. 1 TFIP ; 1’400 fr./12 prévenus). C’est donc un montant total de 566 fr. 65 qui aurait dû être mis à la charge de chacun des prévenus. Par conséquent, il y a lieu de réduire la part des frais mis à la charge d’G.________, M.________, S.________, B.________ et N.________. Celles- ci devront donc supporter les frais de la cause, par 566 fr. 65 chacune, au lieu de 766 fr. 65. Conformément à l’interdiction de la reformatio in pejus, les frais mis à la charge des autres appelants, par 316 fr. 65, doivent être confirmés. Le chiffre L du dispositif du jugement entrepris sera dès lors rectifié d’office dans le sens de ce qui précède, de même que le dispositif du présent jugement qui a été notifié le 15 septembre 2022. Pour le surplus, l’appel étant partiellement admis sur un point de moindre importance, à savoir sur une contravention au RGP, il n’y a pas lieu de réduire davantage les frais mis à la charge des appelants en première instance. 12. En définitive, les appels formés par Q.________, F.________, N.________, P.________, M.________, B.________, S.________, G.________,</w:t>
      </w:r>
    </w:p>
    <w:p>
      <w:r>
        <w:t>- 58 - R.________ et K.________ doivent être partiellement admis et le jugement entrepris modifié dans le sens des considérants. Aucune indemnité au sens de l’art. 429 CPP ne sera allouée, les appelants n’ayant formulé aucune demande dans ce sens. Vue l’issue de la cause, les frais de la procédure d’appel antérieure à l’arrêt du Tribunal fédéral du 19 octobre 2023, par 3'670 fr., sont mis par trois quarts, soit par 2'752 fr. 50, à la charge des appelants et répartis par un dixième chacun, soit à la charge d’Q.________, par 275 fr. 25, à la charge de F.________, par 275 fr. 25, à la charge de N.________, par 275 fr. 25, à la charge de P.________, par 275 fr. 25, à la charge de M.________, par 275 fr. 25, à la charge de B.________, par 275 fr. 25, à la charge de S.________, par 275 fr. 25, à la charge d’G.________, par 275 fr. 25, à la charge de R.________, par 275 fr. 25, et à la charge de K.________, par 275 fr. 25, le solde étant laissé à la charge de l’Etat. Les frais de la procédure d'appel postérieure à l’arrêt du Tribunal fédéral du 19 octobre 2023, par 4’990 fr.,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