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PE19.024921 vom 29. Juni 2023</w:t>
      </w:r>
    </w:p>
    <w:p>
      <w:r>
        <w:t>VD Tribunal cantonal, 2023-06-29, FR</w:t>
      </w:r>
    </w:p>
    <w:p>
      <w:r>
        <w:rPr>
          <w:b/>
        </w:rPr>
        <w:t xml:space="preserve">Quelle: </w:t>
      </w:r>
      <w:r>
        <w:t>https://mcp.opencaselaw.ch/entscheid/vd_gerichte_PE19.024921</w:t>
      </w:r>
    </w:p>
    <w:p>
      <w:r>
        <w:t>FR: VD_GERICHTE PE19.024921 du 29 juin 2023</w:t>
      </w:r>
    </w:p>
    <w:p>
      <w:r>
        <w:t>IT: VD_GERICHTE PE19.024921 del 29 giugno 2023</w:t>
      </w:r>
    </w:p>
    <w:p>
      <w:pPr>
        <w:pStyle w:val="Heading2"/>
      </w:pPr>
      <w:r>
        <w:t>Erwägungen</w:t>
      </w:r>
    </w:p>
    <w:p>
      <w:r>
        <w:rPr>
          <w:b/>
        </w:rPr>
        <w:t>E. 1.1</w:t>
      </w:r>
    </w:p>
    <w:p>
      <w:r>
        <w:t>Les décisions de la direction de la procédure en matière de révocation et de remplacement du défenseur d'office ou du conseil juridique gratuit sont susceptibles de recours selon les art. 393 ss CPP (TF</w:t>
      </w:r>
    </w:p>
    <w:p>
      <w:r>
        <w:t>- 4 - 1B_388/2020 du 2 septembre 2020 consid. 1 ; CREP 23 février 2023/133 ; CREP 30 mars 2022/226 ; Harari/Jakob/Santamaria, in : Jeanneret et al. [éd.], Commentaire romand, Code de procédure pénale suisse, 2e éd., Bâle 2019 [ci-après : CR-CPP], n. 25 ad art. 134 CPP).</w:t>
      </w:r>
    </w:p>
    <w:p>
      <w:r>
        <w:rPr>
          <w:b/>
        </w:rPr>
        <w:t>E. 1.2</w:t>
      </w:r>
    </w:p>
    <w:p>
      <w:r>
        <w:t>Aux termes de l'art. 385 CPP, le mémoire de recours motivé doit précisément indiquer les points de la décision qui sont attaqués (al. 1 let. a), les motifs qui commandent une autre décision (al. 1 let. b) et les moyens de preuve qui sont invoqués (al. 1 let. c).</w:t>
      </w:r>
    </w:p>
    <w:p>
      <w:r>
        <w:rPr>
          <w:b/>
        </w:rPr>
        <w:t>E. 1.3</w:t>
      </w:r>
    </w:p>
    <w:p>
      <w:r>
        <w:t>En l'espèce, le recours a été interjeté en temps utile (art. 396 al. 1 CPP), auprès de l’autorité compétente (art. 20 al. 1 let. b CPP et 13 LVCPP [Loi vaudoise d’introduction du Code de procédure pénale suisse du 19 mai 2009 ; BLV 312.01]), par le prévenu qui a un intérêt juridiquement protégé (art. 382 al. 1 CPP) à obtenir la modification d’une ordonnance du Ministère public rejetant sa requête de confier le mandat d'office à un autre mandataire (art. 134 al. 2 CPP). Il est douteux que le recours satisfasse aux exigences de l’art. 385 al. 1 CPP, faute de motivation s’en prenant aux arguments exposés par le Ministère public. Cette question peut cependant rester indécise, dès lors que, supposé recevable, le recours devrait de toute manière être rejeté pour les motifs qui suivent.</w:t>
      </w:r>
    </w:p>
    <w:p>
      <w:r>
        <w:rPr>
          <w:b/>
        </w:rPr>
        <w:t>E. 2.1</w:t>
      </w:r>
    </w:p>
    <w:p>
      <w:r>
        <w:t>Le recourant explique en substante que son défenseur d’office lui aurait fait le reproche qu’avec un mandat d’office, il gagnerait, par heure, moins que sa propre femme de ménage. Il en déduit que le lien de confiance est rompu, cela d’autant plus que l’avocat ne se serait pas conformé à ses instructions et n’en aurait fait qu’à sa tête, ce qui tendrait à démontrer qu’il ne garantissait plus la défense de ses droits. Il maintient dès lors sa volonté de changer d’avocat d’office.</w:t>
      </w:r>
    </w:p>
    <w:p>
      <w:r>
        <w:rPr>
          <w:b/>
        </w:rPr>
        <w:t>E. 2.2</w:t>
      </w:r>
    </w:p>
    <w:p>
      <w:r>
        <w:t>L'art. 133 al. 2 CPP impose à la direction de la procédure, lors de la nomination du défenseur d’office, de tenir compte, dans la mesure</w:t>
      </w:r>
    </w:p>
    <w:p>
      <w:r>
        <w:t>- 5 - du possible, des souhaits du prévenu. Ce droit de proposition (qui découle également de la CEDH) ne peut être invoqué qu'une fois, en principe au début de la procédure (TF 1B_44/2019 du 30 janvier 2019 consid. 2.2 ; TF 1B_103/2017 du 27 avril 2017 consid. 2.2). Aux termes de l'art. 134 al. 2 CPP, si la relation de confiance entre le prévenu et le défenseur d'office est gravement perturbée ou si une défense efficace n'est plus assurée pour d'autres raisons, la direction de la procédure confie la défense d'office à une autre personne. L’art. 134 al. 2 CPP permet de tenir compte d'une détérioration objective du rapport de confiance entre le prévenu et son défenseur sans lien avec une violation des règles professionnelles. Il faut cependant que l'atteinte au lien de confiance soit corroborée par des éléments tangibles et objectifs qui laissent apparaître que la poursuite du mandat d'office n'est clairement plus justifiée ou ne peut raisonnablement être imposée (ATF 138 IV 161 consid. 2.4, JdT 2013 IV 75 ; TF 6B_1067/2021 du 11 avril 2022 consid. 1.3 et les réf. cit.). Le simple fait que la partie assistée n'a pas confiance en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(ATF 138 IV 161 consid. 2.4 ; TF 6B_35/2022 du 24 novembre 2022 consid. 4.2 et les références citées ; TF 1B_166/2020 précité consid. 3.1.2). Selon l’art. 12 LLCA (loi fédérale sur la libre circulation des avocats du 23 juin 2000 ; RS 935.61), l’avocat exerce sa profession avec soin et diligence (let. a), ainsi qu’en toute indépendance, en son nom personnel et sous sa propre responsabilité (let. b). Pour s’acquitter pleinement de sa mission, l’avocat doit informer son client sur les risques de la procédure (ATF 138 IV 161 précité consid. 2.5.4 et les références) et le conseiller en conséquence. Pour que le prévenu ait droit à un changement de défenseur d’office, il ne suffit dès lors pas que le</w:t>
      </w:r>
    </w:p>
    <w:p>
      <w:r>
        <w:t>- 6 - défenseur actuel, lors d’un entretien entre avocat et client, ait recommandé une stratégie qui déplaît au prévenu. Pour qu’une divergence de vues sur la meilleure stratégie à suivre justifie un changement de défenseur d’office, il faut que cette divergence ait un effet dommageable sur l’engagement et sur l’efficacité du défenseur en procédure ou qu’elle entrave sérieusement la nécessaire collaboration du client et de l’avocat pour la préparation de la défense. Pour que le prévenu soit fondé à demander un changement de défenseur d’office, il ne suffit pas non plus que l’avocat refuse d’accomplir un acte de procédure réclamé par le client, si cet acte est inutile (ATF 138 IV 161 précité consid.</w:t>
      </w:r>
    </w:p>
    <w:p>
      <w:r>
        <w:rPr>
          <w:b/>
        </w:rPr>
        <w:t>E. 2.3</w:t>
      </w:r>
    </w:p>
    <w:p>
      <w:r>
        <w:t>En l’espèce, le recourant a lui-même demandé que Me Michel Dupuis soit désigné défenseur d’office en remplacement de Me Lionel Ducret, ce que le procureur a admis par décision du 3 février 2023. Le fait qu’un entretien se soit mal déroulé le 27 mars 2023, soit que Me Dupuis se serait plaint, selon le recourant, de ne pas encaisser à sa guise et qu’il « ne se conforme pas aux instructions d’un client ne faisant qu’à sa tête », ne constitue pas un motif de remplacement d’un défenseur d’office. Il est en effet exact que les défenseurs d’office ne fixent pas eux-mêmes leurs honoraires. En outre, la jurisprudence considère que la divergence sur la stratégie de défense ne justifie pas un changement d’avocat. Enfin, rien n’indique que depuis le 3 février 2023, Me Dupuis n’ait pas assuré une défense efficace du recourant.</w:t>
      </w:r>
    </w:p>
    <w:p>
      <w:r>
        <w:rPr>
          <w:b/>
        </w:rPr>
        <w:t>E. 2.4</w:t>
      </w:r>
    </w:p>
    <w:p>
      <w:r>
        <w:t>et la référence citée) ou s’il n’entre pas dans le mandat confié à l’avocat (TF 1B_115/2021 du 3 mai 2021 consid. 3.1 et les réf.). Il appartient au prévenu qui demande le remplacement de son défenseur d’office de rendre vraisemblable les motifs sur lesquels il fonde sa demande (CREP 14 septembre 2022/697 consid. 2.2 ; CREP 5 septembre 2019/649 consid. 2.2 ; CREP 15 août 2018/618 consid. 2.2).</w:t>
      </w:r>
    </w:p>
    <w:p>
      <w:r>
        <w:rPr>
          <w:b/>
        </w:rPr>
        <w:t>E. 3</w:t>
      </w:r>
    </w:p>
    <w:p>
      <w:r>
        <w:t>Au vu de ce qui précède, le recours, manifestement mal fondé, doit être rejeté dans la mesure où il est recevable, sans échange d’écritures (art. 390 al. 2 CPP), et l’ordonnance entreprise confirmée.</w:t>
      </w:r>
    </w:p>
    <w:p>
      <w:r>
        <w:t>- 7 - Vu le sort du recours, les frais de la procédure, constitués en l’espèce de l’émolument d'arrêt, par 660 fr. (art. 20 al. 1 et 2 TFIP [Tarif des frais judiciaires et indemnités en matière pénale du 28 septembre 2010 ; BLV 312.03.1]), seront mis à la charge du recourant, qui succombe (art. 428 al. 1 CPP). Par ces motifs, la Chambre des recours pénale prononce : I. Le recours est rejeté dans la mesure où il est recevable. II. L’ordonnance du 12 avril 2023 est confirmée. III. Les frais d’arrêt, par 660 fr. (six cent soixante francs), sont mis à la charge de J.________. IV. L’arrêt est exécutoire. La présidente : La greffière : Du Le présent arrêt, dont la rédaction a été approuvée à huis clos, est notifié, par l'envoi d'une copie complète, à : - M. J.________, - Ministère public central, et communiqué à : - M. le Procureur de l’arrondissement de La Côte, - Me Michel Dupuis, par l’envoi de photocopies.</w:t>
      </w:r>
    </w:p>
    <w:p>
      <w:r>
        <w:t>- 8 -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