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PE19.024816 vom 17. Februar 2020</w:t>
      </w:r>
    </w:p>
    <w:p>
      <w:r>
        <w:t>VD Tribunal cantonal, 2020-02-17, FR</w:t>
      </w:r>
    </w:p>
    <w:p>
      <w:r>
        <w:rPr>
          <w:b/>
        </w:rPr>
        <w:t xml:space="preserve">Quelle: </w:t>
      </w:r>
      <w:r>
        <w:t>https://mcp.opencaselaw.ch/entscheid/vd_gerichte_PE19.024816</w:t>
      </w:r>
    </w:p>
    <w:p>
      <w:r>
        <w:t>FR: VD_GERICHTE PE19.024816 du 17 février 2020</w:t>
      </w:r>
    </w:p>
    <w:p>
      <w:r>
        <w:t>IT: VD_GERICHTE PE19.024816 del 17 febbraio 2020</w:t>
      </w:r>
    </w:p>
    <w:p>
      <w:pPr>
        <w:pStyle w:val="Heading2"/>
      </w:pPr>
      <w:r>
        <w:t>Erwägungen</w:t>
      </w:r>
    </w:p>
    <w:p>
      <w:r>
        <w:rPr>
          <w:b/>
        </w:rPr>
        <w:t>E. 1.1</w:t>
      </w:r>
    </w:p>
    <w:p>
      <w:r>
        <w:t>Aux termes de l’art. 386 al. 2 let. b CPP (Code de procédure pénale suisse du 5 octobre 2007 ; RS 312.0), quiconque a interjeté un recours peut le retirer, s’agissant d’une procédure écrite, avant la clôture de l’échange de mémoires et le terme fixé pour apporter des compléments de preuves ou compléter le dossier. Selon l’art. 386 al. 3 CPP, la renonciation à interjeter recours et le retrait du recours sont définitifs, sauf si la partie a été induite à faire sa déclaration par une tromperie, une infraction ou une information inexacte des autorités.</w:t>
      </w:r>
    </w:p>
    <w:p>
      <w:r>
        <w:rPr>
          <w:b/>
        </w:rPr>
        <w:t>E. 1.2</w:t>
      </w:r>
    </w:p>
    <w:p>
      <w:r>
        <w:t>En l’espèce, en requérant de la Cour de céans l’« annulation de sa plainte » dans le délai imparti pour verser l’avance de frais requise,</w:t>
      </w:r>
    </w:p>
    <w:p>
      <w:r>
        <w:t>- 3 - X.________ a retiré son recours. Conformément à l’art. 386 al. 3 CPP, un tel retrait est définitif, de sorte que c’est en vain que l’intéressée tente d’y revenir dans ses deux courriers subséquents, par lesquels elle développe essentiellement, pour autant qu’on puisse le comprendre, des griefs en lien avec la procédure devant l’Office des poursuites, et qui sont donc étrangers à la cause pénale. Il y a dès lors lieu de prendre acte du retrait du recours et de rayer la cause du rôle.</w:t>
      </w:r>
    </w:p>
    <w:p>
      <w:r>
        <w:rPr>
          <w:b/>
        </w:rPr>
        <w:t>E. 2</w:t>
      </w:r>
    </w:p>
    <w:p>
      <w:r>
        <w:t>Le retrait du recours étant intervenu dans le délai fixé pour procéder au versement des sûretés requises, les frais de la procédure de recours, constitués en l'espèce du seul émolument d'arrêt (art. 422 al. 1 CPP), par 330 fr. (art. 20 al. 1 TFIP [Tarif des frais de procédure et indemnités en matière pénale du 28 septembre 2010 ; BLV 312.03.1]), seront laissés à la charge de l’Etat (art. 423 al. 1 CPP). Par ces motifs, la Chambre des recours pénale prononce : I. Il est pris acte du retrait du recours. II. La cause est rayée du rôle. III. Les frais d’arrêt, par 330 fr. (trois cent trente francs), sont laissés à la charge de l’Etat. IV. L’arrêt est exécutoire. Le président : La greffière :</w:t>
      </w:r>
    </w:p>
    <w:p>
      <w:r>
        <w:t>- 4 - Du Le présent arrêt, dont la rédaction a été approuvée à huis clos, est notifié, par l'envoi d'une copie complète, à : - Mme X.________,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