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PE19.024549 vom 6. September 2022</w:t>
      </w:r>
    </w:p>
    <w:p>
      <w:r>
        <w:t>VD Tribunal cantonal, 2022-09-06, FR</w:t>
      </w:r>
    </w:p>
    <w:p>
      <w:r>
        <w:rPr>
          <w:b/>
        </w:rPr>
        <w:t xml:space="preserve">Quelle: </w:t>
      </w:r>
      <w:r>
        <w:t>https://mcp.opencaselaw.ch/entscheid/vd_gerichte_PE19.024549</w:t>
      </w:r>
    </w:p>
    <w:p>
      <w:r>
        <w:t>FR: VD_GERICHTE PE19.024549 du 6 septembre 2022</w:t>
      </w:r>
    </w:p>
    <w:p>
      <w:r>
        <w:t>IT: VD_GERICHTE PE19.024549 del 6 settembre 2022</w:t>
      </w:r>
    </w:p>
    <w:p>
      <w:pPr>
        <w:pStyle w:val="Heading2"/>
      </w:pPr>
      <w:r>
        <w:t>Erwägungen</w:t>
      </w:r>
    </w:p>
    <w:p>
      <w:r>
        <w:rPr>
          <w:b/>
        </w:rPr>
        <w:t>E. 1</w:t>
      </w:r>
    </w:p>
    <w:p>
      <w:r>
        <w:t>Interjeté dans les formes et délais légaux (art. 399 CPP [Code de procédure pénale suisse du 5 octobre 2007 ; RS 312.0]) par une partie qui a la qualité pour recourir contre le jugement d'un tribunal de première instance ayant clos la procédure (art. 398 al. 1 CPP), l'appel de X.________ est recevable.</w:t>
      </w:r>
    </w:p>
    <w:p>
      <w:r>
        <w:rPr>
          <w:b/>
        </w:rPr>
        <w:t>E. 2</w:t>
      </w:r>
    </w:p>
    <w:p>
      <w:r>
        <w:t>A titre de mesure d’instruction complémentaire, l’appelant a requis l’audition de sa fille, [...], en qualité de témoin. Il explique que cette dernière pourrait parler du contexte de la relation entre les parties, mais également des conséquences de cette procédure sur le moral et la vie de son père.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- 13 -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2.2</w:t>
      </w:r>
    </w:p>
    <w:p>
      <w:r>
        <w:t>En l’espèce, la fille de l’appelant n’était pas présente au moment des faits qui sont reprochés à ce dernier, de sorte que son témoignage n’est pas déterminant. En outre, il n’y a pas lieu d’interroger la jeune fille concernant l’impact de la procédure pénale sur l’appelant, la Cour de céans s’estimant suffisamment renseignée sur cet élément qu’elle a pris en considération au moment de fixer la peine à prononcer (cf. consid. 5.2 infra).</w:t>
      </w:r>
    </w:p>
    <w:p>
      <w:r>
        <w:rPr>
          <w:b/>
        </w:rPr>
        <w:t>E. 3</w:t>
      </w:r>
    </w:p>
    <w:p>
      <w:r>
        <w:t>L’appelant, qui ne revient pas sur la qualification des infractions retenues à son encontre, conteste sa culpabilité. Il remet en cause la crédibilité de la plaignante, au motif que les déclarations de cette dernière auraient varié au cours de l’instruction. Il reproche au premier juge d’avoir fondé sa conviction sur la base d’un état de fait erroné ou incomplet et d’avoir apprécié les preuves de manière arbitraire.</w:t>
      </w:r>
    </w:p>
    <w:p>
      <w:r>
        <w:t>- 14 -</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w:t>
      </w:r>
    </w:p>
    <w:p>
      <w:r>
        <w:t>- 15 -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w:t>
      </w:r>
    </w:p>
    <w:p>
      <w:r>
        <w:t>- 16 - 6B_1189/2021 du 16 février 2022 consid. 3.1 ; TF 6B_802/2021 du 10 février 2022 consid. 1.1 et les références citées).</w:t>
      </w:r>
    </w:p>
    <w:p>
      <w:r>
        <w:rPr>
          <w:b/>
        </w:rPr>
        <w:t>E. 3.2</w:t>
      </w:r>
    </w:p>
    <w:p>
      <w:r>
        <w:t>En l’espèce, et comme souvent dans ce genre d'affaires, les faits se sont produits sans témoins directs. Le premier juge a dans un premier temps procédé à l'examen des déclarations des parties. Il a relevé le discours constant et mesuré de la plaignante et souligné le caractère louvoyant de l'appelant (jgmt, p. 16-19). Mais surtout, le jugement retranscrit les très nombreux messages échangés par les parties après les faits (jgmt, p. 19-20). Il faut lire ces deux pages, mais le dernier message (p. 20 en bas) est à lui seul suffisant pour mettre à néant toute tentative de dénégation : « pardonne-moi si tu peux et si tu comprends mon moment, excuse-moi, je ne voulais pas te manquer de respect, ça n'a jamais été mon genre de forcer quelqu'un à faire quelque chose qu'il ne veut pas, je ne sais pas pourquoi je l'ai fait, peut-être l'envie trop forte d'être avec toi. Encore une fois, pardonne-moi si tu peux ». Ça ne ressemble pas aux paroles de quelqu'un qui n'a rien fait, comme le soutient l'appelant dans son écriture. L'appelant ne prend du reste pas position sur ces messages. Compte tenu de ce qui précède, il ne subsiste aucun doute sérieux que les faits reprochés à l’appelant se sont bien déroulés comme décrits par la plaignante. Par conséquent, il y a lieu de confirmer l'appréciation des preuves du premier juge, tout comme le verdict de culpabilité.</w:t>
      </w:r>
    </w:p>
    <w:p>
      <w:r>
        <w:rPr>
          <w:b/>
        </w:rPr>
        <w:t>E. 4</w:t>
      </w:r>
    </w:p>
    <w:p>
      <w:r>
        <w:t>L’appelant conteste l’indemnité pour tort moral allouée à la plaignante, tant dans son principe que dans son montant. Il fait valoir que cette dernière avait attendu d'avoir un avocat pour consulter un psychologue. Il relève en outre, que la plaignante angoisse toute seule face à des situations compliquées et qu’une rupture est déstabilisante en soi. Le lien de causalité entre les faits délictueux et l'atteinte à la santé n'est donc, selon lui, pas établi.</w:t>
      </w:r>
    </w:p>
    <w:p>
      <w:r>
        <w:t>- 17 -</w:t>
      </w:r>
    </w:p>
    <w:p>
      <w:r>
        <w:rPr>
          <w:b/>
        </w:rPr>
        <w:t>E. 4.1</w:t>
      </w:r>
    </w:p>
    <w:p>
      <w:r>
        <w:t>L'art. 49 al. 1 CO (loi fédérale complétant le Code civil suisse [Livre cinquième : Droit des obligations] du 30 mars 1911 ; RS 220) prévoit que celui qui subit une atteinte à sa personnalité a droit à une somme d'argent à titre de réparation morale, pour autant que la gravité de l'atteinte le justifie et que l'auteur ne lui ait pas donné de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et réf. cit.).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4.2</w:t>
      </w:r>
    </w:p>
    <w:p>
      <w:r>
        <w:t>En l’espèce, le premier juge a retenu qu’il ne faisait aucun doute que le comportement de l’appelant avait entraîné de la souffrance morale à l’intimée, comme cela ressortait d’ailleurs des certificats médicaux produits qui constatent que T.________ présentait des signes clairs d'un syndrome post-traumatique avec des réactions émotionnelles fortes (P. 12 et P. 36). En référence à la casuistique des montants qui sont alloués en pareil cas, le Tribunal a fixé à 3'000 fr. l’indemnité</w:t>
      </w:r>
    </w:p>
    <w:p>
      <w:r>
        <w:t>- 18 - adéquate pour réparer le tort moral infligé à T.________ en raison du comportement adopté par X.________ (jgmt, p. 24) Cette appréciation ne prête pas le flanc à la critique et doit être confirmée. En effet, contrairement à ce que semble insinuer l’appelant, l’intimée a agi dans un délai relativement court, soit trois semaines après les faits, pour consulter son médecin le 17 décembre 2019. Elle a expliqué avoir « craqué » le 13 décembre précédent, alors qu’elle se trouvait chez ses parents et que l’appelant l’avait appelée pour la menacer et qu’après leur avoir confié ce qu’elle avait subi, ces derniers l’avaient convaincue d’aller chez le médecin et de déposer plainte (PV aud. 2). Les explications de la plaignante sont convaincantes. Un important état de stress a été constaté à cette occasion. Les souffrances persistantes sont objectivées par un certificat médical auquel se réfère le jugement entrepris ainsi que par une attestation médicale produite en appel, indiquant que la plaignante ne devait pas être confrontée à l’appelant (P. 50). Le fait que la plaignante soit d'une manière générale fragile n'enlève rien à la gravité de l'atteinte causée, bien au contraire. Le montant alloué s'inscrit en outre dans la moyenne de ce qui est accordé en pareilles circonstances. En conséquence, il convient de confirmer le montant de 3’000 fr. alloué à T.________ en réparation du tort moral subi. L’appel, mal fondé, doit être rejeté sur ce point également.</w:t>
      </w:r>
    </w:p>
    <w:p>
      <w:r>
        <w:rPr>
          <w:b/>
        </w:rPr>
        <w:t>E. 5</w:t>
      </w:r>
    </w:p>
    <w:p>
      <w:r>
        <w:t>A titre subsidiaire, l’appelant conteste la peine prononcée à son encontre, soit une peine privative de liberté de 9 mois, qu’il estime trop sévère. Il fait valoir qu’il n'a jamais eu l'intention de blesser ou de faire du mal. Il relève n’avoir qu'un seul antécédent, concernant une infraction à la loi sur la circulation routière, de sorte qu’il n’est pas ancré dans la délinquance. Enfin, il rappelle le contexte particulier de la rupture d’avec la plaignante. Il conclut dès lors au prononcé d’une peine pécuniaire en lieu et place d’une peine privative de liberté.</w:t>
      </w:r>
    </w:p>
    <w:p>
      <w:r>
        <w:t>- 19 -</w:t>
      </w:r>
    </w:p>
    <w:p>
      <w:r>
        <w:rPr>
          <w:b/>
        </w:rPr>
        <w:t>E. 5.1.1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w:t>
      </w:r>
    </w:p>
    <w:p>
      <w:r>
        <w:rPr>
          <w:b/>
        </w:rPr>
        <w:t>E. 5.1.2</w:t>
      </w:r>
    </w:p>
    <w:p>
      <w:r>
        <w:t>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[éd.], Petit commentaire du Code pénal, 2e éd., Bâle 2017, n. 1 in fine ad art. 41 CP). La condition de l'art. 41 al. 1 let. b CP reflète la subsidiarité de la peine privative de liberté (Dupuis et al. [éd.],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w:t>
      </w:r>
    </w:p>
    <w:p>
      <w:r>
        <w:t>- 20 - patrimoine de l’intéressé et constitue donc une sanction plus clémente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w:t>
      </w:r>
    </w:p>
    <w:p>
      <w:r>
        <w:rPr>
          <w:b/>
        </w:rPr>
        <w:t>E. 5.1.3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6B_434/2021 du 7 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w:t>
      </w:r>
    </w:p>
    <w:p>
      <w:r>
        <w:t>- 21 -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5.1.4</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w:t>
      </w:r>
    </w:p>
    <w:p>
      <w:r>
        <w:rPr>
          <w:b/>
        </w:rPr>
        <w:t>E. 5.2</w:t>
      </w:r>
    </w:p>
    <w:p>
      <w:r>
        <w:t>En l’espèce, le tribunal a retenu que la culpabilité de l’appelant était importante. A charge, il a pris en considération que</w:t>
      </w:r>
    </w:p>
    <w:p>
      <w:r>
        <w:t>- 22 - l’appelant s’en était pris à l'intégrité sexuelle de la plaignante à trois reprises (au sortir de l'ascenseur, contre la voiture et à l'intérieur de celle-ci), faisant fi de l'absence de consentement de sa victime. Prenant conscience que la plaignante ne voulait pas reprendre leur relation, il a proféré des menaces contre elle et contre les membres de sa famille. Le premier juge a retenu que l’appelant avait agi de manière purement égoïste pour satisfaire une pulsion sexuelle, incapable qu'il était d'accepter que la plaignante veuille reprendre sa liberté et se soustraire à ce qu'il appelait de l'amour. A également été pris en considération à charge le concours d'infractions, le tribunal ajoutant qu’il ne voyait pas de circonstances atténuantes dont l’appelant pourrait bénéficier. Compte tenu de ces éléments, le tribunal a considéré qu’il se justifiait de prononcer une sanction plus sévère que celle proposée par le Ministère public, à savoir une peine pécuniaire de 180 jours-amende à 60 fr. le jour (cf. jgmt, pp. 22-23). Cette appréciation doit toutefois être nuancée. En effet, si les actes reprochés à l’appelant ne sont certes pas anodins, ils restent d'une gravité objective contenue et appartiennent à un seul et unique complexe de faits. On doit en outre tenir compte du fait que ces événements sont survenus dans le contexte particulier d'une rupture émaillée de plusieurs réconciliations, la dernière datant de quelques jours avant les faits objets de la présente procédure. Par ailleurs, les messages que l’appelant a envoyés après les faits démontrent qu’il n’avait pas la volonté de faire du mal à la plaignante. En outre, hormis une infraction à la circulation routière, survenue en 2014, l’appelant n'a jamais fait parler défavorablement de lui. Il n'y a ainsi pas d'éléments permettant raisonnablement de soutenir que des motifs de prévention spéciale commanderaient de prononcer une peine privative de liberté à la place d’une peine pécuniaire. L’appelant s’étant rendu coupable de contrainte sexuelle et de menaces, les infractions sont en concours. La contrainte sexuelle, infraction la plus grave, doit être sanctionnée par 90 jours. Par l’effet du concours, il convient d’ajouter 90 jours supplémentaires à cette peine pour</w:t>
      </w:r>
    </w:p>
    <w:p>
      <w:r>
        <w:t>- 23 - sanctionner les diverses menaces proférées. Dans ces circonstances, la peine proposée par le Ministère public, à savoir une peine pécuniaire de 180 jours-amende paraît adéquate pour sanctionner le comportement de l’appelant. Le montant du jour-amende, fixé à 60 fr. par le procureur, paraît adéquat au vu de la situation de l’appelant. Il n’y a pas lieu de revenir sur l’octroi du sursis dont l’appelant remplit les conditions. Enfin, compte tenu des frais de justice de première instance d'ores et déjà à la charge de l'appelant, qui sont considérables (près de 15'000 fr.), frais qu’il n'y a pas lieu de revoir puisque la culpabilité est confirmée, le prononcé d'une amende à titre de sanction immédiate pour des motifs de prévention spéciale ne s'impose pas.</w:t>
      </w:r>
    </w:p>
    <w:p>
      <w:r>
        <w:rPr>
          <w:b/>
        </w:rPr>
        <w:t>E. 6</w:t>
      </w:r>
    </w:p>
    <w:p>
      <w:r>
        <w:t>En définitive, l’appel est partiellement admis et le jugement réformé dans le sens des considérants. Me Malory Fagone, conseil d’office de T.________, a transmis une liste d’opérations (P. 53) dans laquelle elle allègue avoir consacré 9 heures et 40 minutes à ce mandat, dont 3 heures pour l’audience d’appel et 35 minutes pour divers courriers ou courriels au tribunal ou à la cliente. Dans la mesure où les courriers et courriels, allégués à raison de 5 minutes à chaque fois, s’apparentent à de simples notes de transmission qui ne nécessitent pas de travail d’avocat, il convient de retrancher le temps annoncés pour ce poste. De même, on retranchera 2 heures au temps annoncé pour l’audience d’appel qui n’a en définitive duré qu’une heure en tout. On retiendra dès lors un mandat de 7 heures et 5 minutes pour la procédure d’appel. Au tarif horaire de 180 fr., les honoraires de l’avocate s’élèvent à 1'275 fr., auxquels s’ajoutent des débours forfaitaires de 2%, par 25 fr. 50, une vacation de 120 fr. et la TVA à 7,7% sur le tout, par 109 fr. 40. C’est ainsi une indemnité d’office de 1'529 fr. 90 qui doit être allouée à Me Fagone pour la procédure d’appel. Me Raphaëlle Nicolet, défenseur d’office de X.________, a transmis une liste d’opérations faisant état de 28 heures et 55 minutes de travail, dont 13 heures et 35 minutes assumées par l’avocate stagiaire (P.</w:t>
      </w:r>
    </w:p>
    <w:p>
      <w:r>
        <w:t>- 24 - 54). Cette durée apparaît excessive au vu de la nature du litige. En particulier, il convient de retrancher les opérations antérieurs à la procédure d’appel, à hauteur de 1 heure et 20 minutes, déjà été indemnisées en première instance. On retranchera également les 5 heures annoncées par l’avocate-stagiaire pour « analyse de la procédure » dans la mesure où elle est déjà intervenue en première instance et que la procédure ne présente pas de difficulté particulière justifiant de s’y consacrer plus que les 7 heures déjà admises pour la rédaction de l’appel motivé. En outre, on retranchera les 45 minutes et les 30 minutes alléguées par l’avocate Raphaëlle Nicolet, respectivement pour les postes « préparation d’audience » et « plaidoirie » puisque c’est l’avocate- stagiaire qui a représenté l’appelant à l’audience d’appel. Enfin, on retirera 1 heure au temps d’audience annoncé pour tenir compte de la durée effective de l’audience d’appel. C’est ainsi un mandat total de 15 heures et 35 minutes qui doit être retenu, soit 7 heures et 45 minutes assumées par l’avocate breveté et 7 heures et 50 minutes par l’avocate stagiaire. Au tarif horaire de 180 fr. pour l’avocat breveté et de 110 fr. pour l’avocat-stagiaire (art. 2 al. 1 RAJ [règlement sur l'assistance judiciaire en matière civile ; BLV 211.02.3], les honoraires de Me Nicolet s’élèvent ainsi un mandat total de 2'265 fr. 65 ([7h45 x 180 = 1'395 fr.] + [7h50 x 110 = 861 fr, 65]), auxquels s’ajoutent des débours forfaitaires de 2%, par 43 fr. 13, une vacation de 80 fr. pour l’avocate-stagiaire (art. 3bis al. 3 RAJ) et la TVA de 7,7% sur le tout, par 183 fr. 40. C’est ainsi une indemnité d’office de 2’565 fr. 20, qui doit être allouée à Me Nicolet pour la procédure d’appel. Le dispositif du présent jugement, notifié aux parties le 26 mai 2023, comporte des erreurs manifestes à ses chiffres III et IV, s’agissant du calcul des indemnités d’office allouées aux conseils des parties. En effet, l’indemnité arrêtée en faveur de Me Nicolet n’applique pas le tarif horaire usuel pour l’avocat-stagiaire alors que celle arrêtée en faveur de Me Fagone a été calculée en tenant compte d’une durée de mandat erronée. Le dispositif doit donc être rectifié d’office en application de l’art. 83 CPP en ce sens que l’indemnité d’office allouée à Me Raphaëlle Nicolet s’élève à 2'565 fr. 20 et non à 2’995 fr. 50 (ch. III), alors que l’indemnité</w:t>
      </w:r>
    </w:p>
    <w:p>
      <w:r>
        <w:t>- 25 - d’office allouée à Me Malory Fagone se monte à 1'529 fr. 90 et non à 1’068 fr. 50 (ch. IV). L’appelant obtient partiellement gain de cause s’agissant de la quotité et du genre de la peine prononcée à son encontre. Il perd en revanche s’agissant de sa culpabilité qui est intégralement confirmée, de même que le montant alloué à la plaignante au titre de réparation du tort moral qu’elle a subi. Vu l’issue de la cause, les frais de la procédure d'appel par 6'665 fr. 10, constitués de l’émolument du présent jugement, par 2’570 fr. (art. 21 al. 1 et 2 TFIP [tarif des frais de procédure et indemnités en matière pénale du 28 septembre 2010 ; BLV 312.03.1), de l’indemnité allouée au défenseur d’office de l’appelant, par 2'565 fr. 20, et de l’indemnité allouée au conseil d’office de la plaignante, par 1'529 fr. 90, seront mis par moitié, soit par 3’332 fr. 55, à la charge de X.________, le solde étant laissé à la charge de l’Etat (art. 428 al. 1 CPP). X.________ ne sera tenu de rembourser à l’Etat la part des indemnités d’office mises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