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PE19.024469 vom 6. April 2022</w:t>
      </w:r>
    </w:p>
    <w:p>
      <w:r>
        <w:t>VD Tribunal cantonal, 2022-04-06, FR</w:t>
      </w:r>
    </w:p>
    <w:p>
      <w:r>
        <w:rPr>
          <w:b/>
        </w:rPr>
        <w:t xml:space="preserve">Quelle: </w:t>
      </w:r>
      <w:r>
        <w:t>https://mcp.opencaselaw.ch/entscheid/vd_gerichte_PE19.024469</w:t>
      </w:r>
    </w:p>
    <w:p>
      <w:r>
        <w:t>FR: VD_GERICHTE PE19.024469 du 6 avril 2022</w:t>
      </w:r>
    </w:p>
    <w:p>
      <w:r>
        <w:t>IT: VD_GERICHTE PE19.024469 del 6 aprile 2022</w:t>
      </w:r>
    </w:p>
    <w:p>
      <w:pPr>
        <w:pStyle w:val="Heading2"/>
      </w:pPr>
      <w:r>
        <w:t>Erwägungen</w:t>
      </w:r>
    </w:p>
    <w:p>
      <w:r>
        <w:rPr>
          <w:b/>
        </w:rPr>
        <w:t>E. 1.1</w:t>
      </w:r>
    </w:p>
    <w:p>
      <w:r>
        <w:t>Selon l’art. 33 CP, l’ayant droit peut retirer sa plainte tant que le jugement de deuxième instance cantonale n’a pas été prononcé (al. 1). Quiconque a retiré sa plainte ne peut pas la renouveler (al. 2).</w:t>
      </w:r>
    </w:p>
    <w:p>
      <w:r>
        <w:rPr>
          <w:b/>
        </w:rPr>
        <w:t>E. 1.2</w:t>
      </w:r>
    </w:p>
    <w:p>
      <w:r>
        <w:t>En l’espèce, dès lors que l’infraction de violation d’une obligation d’entretien (art. 217 al. 1 CP) est un délit poursuivi sur plainte uniquement et que Z.________ a retiré sa plainte avant le prononcé du jugement de deuxième instance, il y a lieu de mettre fin à l’action pénale.</w:t>
      </w:r>
    </w:p>
    <w:p>
      <w:r>
        <w:rPr>
          <w:b/>
        </w:rPr>
        <w:t>E. 2.1</w:t>
      </w:r>
    </w:p>
    <w:p>
      <w:r>
        <w:t>Selon la jurisprudence, après l’ouverture de l’instruction, le retrait de plainte s’apparente à une décision de classement (cf. art. 319 al. 1 let. d CPP ; TF 6B_1065/2015 du 15 septembre 2016 consid. 2.1 ; TF 6B_87/2012 du 27 avril 2012 consid. 1.1 ; CAPE 2 avril 2013/68). Il reste donc à statuer sur les frais.</w:t>
      </w:r>
    </w:p>
    <w:p>
      <w:r>
        <w:rPr>
          <w:b/>
        </w:rPr>
        <w:t>E. 2.2</w:t>
      </w:r>
    </w:p>
    <w:p>
      <w:r>
        <w:t>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t>- 4 -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 ATF 119 Ia 332 consid. 1b ; TF 6B_1231/2021 du 4 janvier 2022 consid. 2.1).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obligations du 30 mars 2011 ; RS 220). Le fait reproché doit constituer une violation claire de la norme de comportement (ATF 144 IV 202 consid. 2.2 ; ATF 119 Ia 332 consid. 1b ; ATF 116 Ia 162 consid. 2d ; TF 6B_1231/2021 précité). La norme de comportement en cause doit avoir une portée indépendante de la norme pénale en cause (TF 6B_1399/2019 du 5 mars 2020 consid. 1.4).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 TF 6B_1231/2021 précité).</w:t>
      </w:r>
    </w:p>
    <w:p>
      <w:r>
        <w:rPr>
          <w:b/>
        </w:rPr>
        <w:t>E. 2.3</w:t>
      </w:r>
    </w:p>
    <w:p>
      <w:r>
        <w:t>Il convient de déterminer si l’appelant a adopté un comportement contraire à une règle de droit écrite ou non écrite justifiant</w:t>
      </w:r>
    </w:p>
    <w:p>
      <w:r>
        <w:t>- 5 - de le condamner à l'intégralité des frais de procédure de première instance en dépit du retrait de plainte, respectivement du classement de la procédure. Dans le cas particulier, l’appelant n’a pas versé à temps les contributions d’entretien qu’il devait à son épouse de juillet 2019 à octobre 2020, à raison de 690 fr. par mois (jugement, pp. 10 et 12 in fine), portant ainsi atteinte à son minimum vital du droit des poursuites (cf. P. 6, mesures protectrices de l’union conjugale, p. 4). C’est donc par un comportement fautif et contraire à une règle de l’ordre juridique suisse que l’appelant a provoqué l’ouverture de la procédure pénale dirigée contre lui, de sorte que les frais de première instance, incluant l’indemnité de son défenseur d’office, pouvaient effectivement être mis à sa charge.</w:t>
      </w:r>
    </w:p>
    <w:p>
      <w:r>
        <w:rPr>
          <w:b/>
        </w:rPr>
        <w:t>E. 3</w:t>
      </w:r>
    </w:p>
    <w:p>
      <w:r>
        <w:t>Les frais de la procédure d’appel, par 550 fr. (art. 21 al. 1 TFIP [tarif des frais de procédure et indemnités en matière pénale du 28 septembre 2010 ; BLV 312.03.1]), seront laissés à la charge de l’Etat (art. 423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