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PE19.024152 vom 18. Dezember 2019</w:t>
      </w:r>
    </w:p>
    <w:p>
      <w:r>
        <w:t>VD Tribunal cantonal, 2019-12-18, FR</w:t>
      </w:r>
    </w:p>
    <w:p>
      <w:r>
        <w:rPr>
          <w:b/>
        </w:rPr>
        <w:t xml:space="preserve">Quelle: </w:t>
      </w:r>
      <w:r>
        <w:t>https://mcp.opencaselaw.ch/entscheid/vd_gerichte_PE19.024152</w:t>
      </w:r>
    </w:p>
    <w:p>
      <w:r>
        <w:t>FR: VD_GERICHTE PE19.024152 du 18 décembre 2019</w:t>
      </w:r>
    </w:p>
    <w:p>
      <w:r>
        <w:t>IT: VD_GERICHTE PE19.024152 del 18 dicembre 2019</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les Préfets du district de Lausanne (art. 13 al. 1 LVCPP [Loi d’introduction du Code de procédure pénale suisse du 19 mai 2009 ; BLV 312.01] ; CREP 26 avril 2019/332 consid. 1).</w:t>
      </w:r>
    </w:p>
    <w:p>
      <w:r>
        <w:rPr>
          <w:b/>
        </w:rPr>
        <w:t>E. 2.1</w:t>
      </w:r>
    </w:p>
    <w:p>
      <w:r>
        <w:t>Pour fonder leur demande de récusation, les Préfets du district de Lausanne se réfèrent exclusivement au motif invoqué par le prévenu</w:t>
      </w:r>
    </w:p>
    <w:p>
      <w:r>
        <w:t>- 4 - dans son courrier du 28 octobre 2019. Ils précisent que la Préfète du district de l’Ouest lausannois serait disposée à reprendre le traitement de la présente affaire.</w:t>
      </w:r>
    </w:p>
    <w:p>
      <w:r>
        <w:rPr>
          <w:b/>
        </w:rPr>
        <w:t>E. 2.2</w:t>
      </w:r>
    </w:p>
    <w:p>
      <w:r>
        <w:t>L'art. 56 let. a à e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3.2.1, JdT 2016 IV 247 ; ATF 138 IV 142 consid. 2.1).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et les</w:t>
      </w:r>
    </w:p>
    <w:p>
      <w:r>
        <w:t>- 5 - réf. citées ; ATF 141 IV 178 consid. 3.2.3). En effet, la fonction judiciaire oblige à se déterminer rapidement sur des éléments souvent contestés et délicats. Il appartient en outre aux juridictions de recours normalement compétentes de constater et de redresser les erreurs éventuellement commises dans ce cadre. En particulier, n'emportent pas prévention une décision défavorable à une partie (TF 1B_365/2009 du 22 mars 2010 consid. 3.3) ou un refus d'administrer une preuve (ATF 116 Ia 135 ; Verniory, in : Kuhn/Jeanneret [éd.], Commentaire romand, Code de procédure pénale suisse, Bâle 2011, n. 35 ad art. 56 CPP).</w:t>
      </w:r>
    </w:p>
    <w:p>
      <w:r>
        <w:rPr>
          <w:b/>
        </w:rPr>
        <w:t>E. 2.3</w:t>
      </w:r>
    </w:p>
    <w:p>
      <w:r>
        <w:t>En l’espèce, en qualifiant l’opposition du Ministère public à l’ordonnance pénale du 14 octobre 2019 de « décision », et en suivant dès lors les arguments du Procureur sans apporter sa propre motivation à son ordonnance pénale du 18 octobre 2019, annulant et remplaçant celle rendue par son collègue le 14 octobre 2019, la Préfète D.________ a certes manifestement commis une erreur de procédure. Toutefois, cette méprise, ni particulièrement grave ni commise de manière répétée, n’apparaît pas susceptible de fonder une apparence objective de prévention et ne justifie par conséquent pas la récusation de cette magistrate. La faute pourra cas échéant être réparée dans le cadre de la procédure d’opposition, X.________ ayant d’ailleurs usé principalement et prioritairement de cette voie de droit pour contester l’ordonnance rendue.</w:t>
      </w:r>
    </w:p>
    <w:p>
      <w:r>
        <w:rPr>
          <w:b/>
        </w:rPr>
        <w:t>E. 3</w:t>
      </w:r>
    </w:p>
    <w:p>
      <w:r>
        <w:t>Il résulte de ce qui précède que la demande de récusation présentée par les Préfets du district de Lausanne doit être rejetée. Les frais de la présente procédure, constitués en l’espèce du seul émolument de décision (art. 422 al. 1 CPP), par 550 fr. (art. 20 al. 1 TFIP [Tarif des frais de procédure et indemnités en matière pénale du 28 septembre 2010 ; BLV 312.03.1]), seront laissés à la charge de l’Etat (art. 59 al. 4, 2e phrase, CPP). Par ces motifs,</w:t>
      </w:r>
    </w:p>
    <w:p>
      <w:r>
        <w:t>- 6 - la Chambre des recours pénale prononce : I. La demande de récusation présentée le 12 décembre 2019 par les Préfets du district de Lausanne est rejetée. II. Les frais de décision, par 550 fr. (cinq cent cinquante francs), sont laissés à la charge de l’Etat. III. La décision est exécutoire. Le président : La greffière : Du La présente décision, dont la rédaction a été approuvée à huis clos, est notifiée, par l'envoi d'une copie complète, à : - Préfecture du district de Lausanne, - Me Stéphanie Cacciatore, avocate (pour X.________), - Ministère public central, et communiquée à : - M. le Procureur du Ministère public central, division affaires spéciales,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