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PE19.023772 vom 1. April 2020</w:t>
      </w:r>
    </w:p>
    <w:p>
      <w:r>
        <w:t>VD Tribunal cantonal, 2020-04-01, FR</w:t>
      </w:r>
    </w:p>
    <w:p>
      <w:r>
        <w:rPr>
          <w:b/>
        </w:rPr>
        <w:t xml:space="preserve">Quelle: </w:t>
      </w:r>
      <w:r>
        <w:t>https://mcp.opencaselaw.ch/entscheid/vd_gerichte_PE19.023772</w:t>
      </w:r>
    </w:p>
    <w:p>
      <w:r>
        <w:t>FR: VD_GERICHTE PE19.023772 du 1 avril 2020</w:t>
      </w:r>
    </w:p>
    <w:p>
      <w:r>
        <w:t>IT: VD_GERICHTE PE19.023772 del 1 aprile 2020</w:t>
      </w:r>
    </w:p>
    <w:p>
      <w:pPr>
        <w:pStyle w:val="Heading2"/>
      </w:pPr>
      <w:r>
        <w:t>Erwägungen</w:t>
      </w:r>
    </w:p>
    <w:p>
      <w:r>
        <w:rPr>
          <w:b/>
        </w:rPr>
        <w:t>E. 1</w:t>
      </w:r>
    </w:p>
    <w:p>
      <w:r>
        <w:t>X.________ a produit un acte de recours traduit en français qui est suffisamment compréhensible. En outre, interjeté dans le délai légal de dix jours (art. 310 al. 2 et 322 al. 2 CPP [Code de procédure pénale suisse du 5 octobre 2007 ; RS 312.0]), dans les formes prescrites (art. 385 al. 1 CPP), auprès de l’autorité compétente (art. 13 LVCPP [loi d’introduction du Code de procédure pénale suisse du 19 mai 2009 ; BLV 312.01] ; art. 80 LOJV [loi d'organisation judiciaire du 12 septembre 1979 ; BLV 173.01]),</w:t>
      </w:r>
    </w:p>
    <w:p>
      <w:r>
        <w:t>- 5 - par la partie plaignante qui a qualité pour recourir (art. 382 al. 1 CPP), le recours est recevable.</w:t>
      </w:r>
    </w:p>
    <w:p>
      <w:r>
        <w:rPr>
          <w:b/>
        </w:rPr>
        <w:t>E. 2</w:t>
      </w:r>
    </w:p>
    <w:p>
      <w:r>
        <w:t>Selon l'art. 310 al. 1 let. a CPP, le procureur rend immédiatement – c'est-à-dire sans qu'une instruction soit ouverte – une ordonnance de non-entrée en matière lorsqu'il apparaît, à réception de la dénonciation (art. 301 ss CPP) ou de la plainte (Grodecki/Cornu,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3</w:t>
      </w:r>
    </w:p>
    <w:p>
      <w:r>
        <w:t>La recourante soutient que les Procureurs R.________ et S.________ lui auraient illégalement réclamé des frais judiciaires, les motifs énoncés par ces derniers étant erronés et/ou abusifs. Or, X.________ admet qu'elle n'a pas recouru contre les ordonnances de non-entrée en matière des 3 mai 2019 et 23 juillet 2019,</w:t>
      </w:r>
    </w:p>
    <w:p>
      <w:r>
        <w:t>- 6 - à savoir qu'elle n'a pas contesté la mise à sa charge des frais des deux procédures. Dès lors que ces ordonnances revêtent désormais l'autorité de la chose jugée, il n'y a pas lieu de revenir sur les motifs exposés par les Procureurs R.________ et S.________ ni d'examiner les griefs invoqués par X.________ dans son recours sur ce point particulier.</w:t>
      </w:r>
    </w:p>
    <w:p>
      <w:r>
        <w:rPr>
          <w:b/>
        </w:rPr>
        <w:t>E. 4.1</w:t>
      </w:r>
    </w:p>
    <w:p>
      <w:r>
        <w:t>X.________ invoque un déni de justice selon l'art. 396 al. 2 CPP.</w:t>
      </w:r>
    </w:p>
    <w:p>
      <w:r>
        <w:rPr>
          <w:b/>
        </w:rPr>
        <w:t>E. 4.2.1</w:t>
      </w:r>
    </w:p>
    <w:p>
      <w:r>
        <w:t>Aux termes de l'art. 393 al. 2 CPP, le recours peut être formé pour violation du droit, y compris l’excès et l’abus du pouvoir d’appréciation, le déni de justice et le retard injustifié (let. a), constatation incomplète ou erronée des faits (let. b) ou inopportunité (let. c). Le recours pour déni de justice ou retard injustifié n’est soumis à aucun délai (art. 396 al. 2 CPP). L'art. 396 al. 2 CPP vise exclusivement le déni de justice formel (refus de rendre un prononcé ou d'accomplir un autre acte de procédure) et le retard injustifié (omission de rendre un prononcé ou d'accomplir un autre acte de procédure dans le temps que l'ensemble des circonstances commandent raisonnablement de concéder à cet effet) (Sträuli, Commentaire romand, Code de procédure pénale suisse, 2e éd., Bâle 2019, n. 14 ad art. 396 CPP). Ainsi, cette voie de droit ne vise que le comportement passif de l'autorité (Sträuli, op. cit., n. 7 ad art. 393 CPP).</w:t>
      </w:r>
    </w:p>
    <w:p>
      <w:r>
        <w:rPr>
          <w:b/>
        </w:rPr>
        <w:t>E. 4.2.2</w:t>
      </w:r>
    </w:p>
    <w:p>
      <w:r>
        <w:t>En vertu de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4.3</w:t>
      </w:r>
    </w:p>
    <w:p>
      <w:r>
        <w:t>La recourante se méprend sur la notion de déni de justice de l'art. 396 al. 2 CPP. En effet, celui-ci ne couvre que le comportement passif de l'autorité pénale, à savoir le refus de rendre un prononcé ou d'accomplir un autre acte de procédure ou l'omission de rendre un prononcé ou d'accomplir un autre acte de procédure dans le temps qui peut raisonnablement être exigé, ce qui n'est à l'évidence pas le cas en l'espèce. Comme exposé ci-dessus, X.________ n'a pas recouru contre les ordonnances de non-entrée en matière des 3 mai 2019 et 23 juillet 2019 dans le délai de dix jours de l'art. 396 al. 1 CPP, seul applicable, comme indiqué au pied de chaque ordonnance. Elle ne peut donc pas, par l'entremise de l'art. 396 al. 2 CPP, contester le bien-fondé des ordonnances pénales rendues par les Procureurs R.________ et S.________. Au demeurant, l'ordonnance de non-entrée en matière du 17 décembre 2019 peut être confirmée en tous points par adoption de motifs. En effet, le Procureur général adjoint T.________ a exposé de manière détaillée et convaincante les motifs pour lesquels les éléments constitutifs des infractions d'abus d'autorité (art. 312 CP) et de concussion (art. 313 CP) n'étaient pas réalisés, ainsi que la raison pour laquelle la procédure PE19.013966 ne pouvait pas être reprise (art. 323 CPP). 5. Il résulte de ce qui précède que le recours, manifestement mal fondé, doit être rejeté sans échange d'écritures (art. 390 al. 2 CPP) et l’ordonnance entreprise confirmée. Les frais de la procédure de recours, par 880 fr. (art. 20 al. 1 TFIP [Tarif des frais de procédure et indemnités en matière pénale du 28</w:t>
      </w:r>
    </w:p>
    <w:p>
      <w:r>
        <w:t>- 9 - septembre 2010 ; BLV 312.03.1]), seront mis à la charge de la recourante, qui succombe (art. 428 al. 1 CPP). L'avance de frais de 550 fr. versée par la recourante à titre de sûretés sera déduite des frais d'arrêt mis à sa charge (art. 383 al. 1 CPP ; art. 7 TFIP ; CREP 29 juillet 2019/570 ; CREP 25 octobre 2017/730). Par ces motifs, la Chambre des recours pénale prononce : I. Le recours est rejeté dans la mesure où il est recevable. II. L'ordonnance du 17 décembre 2019 est confirmée. III. Les frais de la procédure de recours, par 880 fr. (huit cent huitante francs), sont mis à la charge de X.________. IV. L'avance de frais de 550 fr. (cinq cent cinquante francs) versée par X.________ à titre de sûretés est imputée sur les frais mis à sa charge au chiffre III ci-dessus. V. L’arrêt est exécutoire. Le président : La greffière : Du Le présent arrêt, dont la rédaction a été approuvée à huis clos, est notifié, par l'envoi d'une copie complète, à : - Mme X.________, - Ministère public central,</w:t>
      </w:r>
    </w:p>
    <w:p>
      <w:r>
        <w:t>- 10 -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par.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w:t>
      </w:r>
    </w:p>
    <w:p>
      <w:r>
        <w:t>- 7 - pas une décision qu'il lui incombe de prendre dans le délai prescrit par la loi ou dans le délai que la nature de l'affaire et les circonstances font apparaître comme raisonnable (ATF 143 IV 373 consid. 1.3.1 ; ATF 135 I 265 consid. 4.4 ; TF 6B_417/2019 du 13 septembre 2019 consid. 4.1 et l’arrêt cité). S’agissant plus particulièrement des autorités pénales, l’art. 5 al. 1 CPP leur impose d’engager les procédures pénales sans délai et de les mener à terme sans retard injustifié.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ATF 130 IV 54 consid. 3.3.3 ; TF 6B_417/2019 du 13 septembre 2019 consid. 4.1 ; TF 6B_908/2009 du 3 novembre 2010 consid. 3.1, non publié à l’ATF 136 IV 188). Il y a déni de justice lorsqu’une autorité se refuse à statuer bien qu’elle y soit obligée (ATF 124 V 130 ; ATF 117 Ia 116 consid. 3a). Un défaut de réponse du magistrat à une requête ne fonde pas automatiquement le grief de déni de justice (JdT 2012 III 27 et les réf. citées). Si l’autorité de recours constate un déni de justice ou un retard injustifié, elle peut donner des instructions à l’autorité concernée en lui impartissant des délais pour s’exécuter (art. 397 al. 4 CPP). Selon la</w:t>
      </w:r>
    </w:p>
    <w:p>
      <w:r>
        <w:t>- 8 - jurisprudence du Tribunal fédéral, en vertu du principe de la confiance, les parties ont l'obligation d'intervenir en cours d'instance pour se plaindre d'un retard à statuer, si elles veulent pouvoir ensuite soulever un tel grief devant l'autorité de recours (ATF 126 V 244 consid. 2d ; ATF 125 V 373 consid. 2b ; en droit pénal, cf. TF 1B_107/2012 du 20 mars 2012 consid. 4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