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PE19.023083 vom 16. Juni 2020</w:t>
      </w:r>
    </w:p>
    <w:p>
      <w:r>
        <w:t>VD Tribunal cantonal, 2020-06-16, FR</w:t>
      </w:r>
    </w:p>
    <w:p>
      <w:r>
        <w:rPr>
          <w:b/>
        </w:rPr>
        <w:t xml:space="preserve">Quelle: </w:t>
      </w:r>
      <w:r>
        <w:t>https://mcp.opencaselaw.ch/entscheid/vd_gerichte_PE19.023083</w:t>
      </w:r>
    </w:p>
    <w:p>
      <w:r>
        <w:t>FR: VD_GERICHTE PE19.023083 du 16 juin 2020</w:t>
      </w:r>
    </w:p>
    <w:p>
      <w:r>
        <w:t>IT: VD_GERICHTE PE19.023083 del 16 giugno 2020</w:t>
      </w:r>
    </w:p>
    <w:p>
      <w:pPr>
        <w:pStyle w:val="Heading2"/>
      </w:pPr>
      <w:r>
        <w:t>Erwägungen</w:t>
      </w:r>
    </w:p>
    <w:p>
      <w:r>
        <w:rPr>
          <w:b/>
        </w:rPr>
        <w:t>E. 2.1</w:t>
      </w:r>
    </w:p>
    <w:p>
      <w:r>
        <w:t>X.________ invoque au titre de fait nouveau qu'après vérification de la prétendue cocaïne qui lui est reprochée d’avoir vendue à un codétenu, il s'est avéré, selon les termes de la décision de sanction rendue le 2 août 2019 par la Direction des Etablissements de la plaine de l’Orbe (EPO) (P. 23/2/2), que la substance remise n'était en fait pas de la cocaïne mais un somnifère vendu librement en pharmacie (P. 23/2/3). En outre, comme il est désormais avéré que les dénégations de X.________ au sujet de la cocaïne étaient fondées, il estime qu’il devrait en aller de même en ce qui concerne la vente de haschich, puisque la crédibilité du codétenu [...] serait mise à mal. Enfin, le demandeur a agi avec l’aide d’un avocat et requiert la nomination de celui-ci en qualité de défenseur d'office, avec effet rétroactif au jour où il l’a consulté, soit le 15 avril 2020.</w:t>
      </w:r>
    </w:p>
    <w:p>
      <w:r>
        <w:t>- 7 -</w:t>
      </w:r>
    </w:p>
    <w:p>
      <w:r>
        <w:rPr>
          <w:b/>
        </w:rPr>
        <w:t>E. 2.2</w:t>
      </w:r>
    </w:p>
    <w:p>
      <w:r>
        <w:t>Le fait invoqué est certes sérieux, puisqu'il remet en cause le fondement même de la condamnation sur une partie non négligeable des faits sanctionnés. En revanche, il ne répond pas à la définition du fait « nouveau ». X.________ a en effet reçu la décision de sanction dont il se prévaut le 14 août 2019, comme en atteste sa signature sur ce document (P. 23/2/2). Dès ce moment-là, il avait donc connaissance du résultat des « vérifications » qui démontraient qu'il ne s'agissait pas de cocaïne. Il avait donc connaissance de ce fait initialement et il n'avait aucune raison légitime de le taire. Il aurait ainsi pu et dû le révéler dans le cadre de la procédure ordinaire, d’abord devant le Ministère public – l’ordonnance litigieuse ayant été rendue près de trois mois et demi après qu’il ait eu connaissance de la décision de sanction soit le 5 décembre 2019 –, voire même ensuite dans le cadre d’une simple opposition. Il ressort d’ailleurs du dossier que X.________ a tenté de le faire, à juste titre, mais qu’il a formé opposition tardivement, ce qui a été constaté par prononcé du Tribunal de police de l'arrondissement de la Broye et du Nord vaudois du 28 février 2020 d’abord, puis confirmé par arrêt de la Chambre des recours pénale du 13 mars 2020. La procédure de révision ne peut guérir la tardiveté de l'opposition. On relèvera encore à cet égard qu’on ignore pour quelle raison X.________ n'a pas formé opposition en temps utile, dès lors qu’il a écrit au Ministère public, dans le délai d'opposition, pour lui indiquer qu'il « accept[ait] à contre-coeur la peine privative de liberté de 50 jours » prononcée à son encontre (P. 6).</w:t>
      </w:r>
    </w:p>
    <w:p>
      <w:r>
        <w:rPr>
          <w:b/>
        </w:rPr>
        <w:t>E. 3</w:t>
      </w:r>
    </w:p>
    <w:p>
      <w:r>
        <w:t>Il résulte de ce qui précède que la demande de révision déposée par X.________ doit être déclarée irrecevable, sans échange d’écritures (art. 412 al. 2 CPP). Dans la mesure où cette demande était d'emblée dénuée de chance de succès, la requête tendant à la désignation d'un défenseur</w:t>
      </w:r>
    </w:p>
    <w:p>
      <w:r>
        <w:t>- 8 - d'office doit être rejetée (Harari/Jakob/Santamaria, in : Jeanneret/Kuhn/Perrier Depeursinge [éd.], op.cit., n. 72 ad art. 132 CPP). Le présent prononcé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