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PE19.022628 vom 22. März 2022</w:t>
      </w:r>
    </w:p>
    <w:p>
      <w:r>
        <w:t>VD Tribunal cantonal, 2022-03-22, FR</w:t>
      </w:r>
    </w:p>
    <w:p>
      <w:r>
        <w:rPr>
          <w:b/>
        </w:rPr>
        <w:t xml:space="preserve">Quelle: </w:t>
      </w:r>
      <w:r>
        <w:t>https://mcp.opencaselaw.ch/entscheid/vd_gerichte_PE19.022628</w:t>
      </w:r>
    </w:p>
    <w:p>
      <w:r>
        <w:t>FR: VD_GERICHTE PE19.022628 du 22 mars 2022</w:t>
      </w:r>
    </w:p>
    <w:p>
      <w:r>
        <w:t>IT: VD_GERICHTE PE19.022628 del 22 marzo 2022</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1.4</w:t>
      </w:r>
    </w:p>
    <w:p>
      <w:r>
        <w:t>p. 192; TF 6B_797/2016 du 15 août 2017 consid. 3.1).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w:t>
      </w:r>
    </w:p>
    <w:p>
      <w:r>
        <w:t>- 21 - 191; TF 6B_797/2016 précité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p. 192; sur cette distinction, cf. ATF 119 IV 25 consid 2a p. 26 s.).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134 IV 189 consid. 1.3 p. 192; ATF 119 IV 25 consid. 2a p. 27 et les références citées; TF 6B_1285/2017 du 14 mai 2018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t>- 20 -</w:t>
      </w:r>
    </w:p>
    <w:p>
      <w:r>
        <w:rPr>
          <w:b/>
        </w:rPr>
        <w:t>E. 3.1.1</w:t>
      </w:r>
    </w:p>
    <w:p>
      <w:r>
        <w:t>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al. 2 CP). Aux termes de l'art. 123 ch. 2 al. 6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w:t>
      </w:r>
    </w:p>
    <w:p>
      <w:r>
        <w:rPr>
          <w:b/>
        </w:rPr>
        <w:t>E. 3.1.2</w:t>
      </w:r>
    </w:p>
    <w:p>
      <w:r>
        <w:t>Cette disposition concerne les lésions du corps humain ou de la santé qui ne peuvent être qualifiées de graves au sens de l'art. 122 CP. Elle protège l'intégrité corporelle et la santé tant physique que psychique (ATF 134 IV 189 consid. 1.1 p. 191; ATF 119 IV 25 consid. 2a p. 26).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(TF 6B_166/2017 du 16 novembre 2017 consid. 2.2).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w:t>
      </w:r>
    </w:p>
    <w:p>
      <w:r>
        <w:rPr>
          <w:b/>
        </w:rPr>
        <w:t>E. 3.2.1</w:t>
      </w:r>
    </w:p>
    <w:p>
      <w:r>
        <w:t>L’art. 126 al. 1 CP punit, sur plainte, celui qui se sera livré sur une personne à des voies de fait qui n’auront causé ni lésion corporelle ni atteinte à la santé.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(art. 126 al. 2 let. c CP).</w:t>
      </w:r>
    </w:p>
    <w:p>
      <w:r>
        <w:rPr>
          <w:b/>
        </w:rPr>
        <w:t>E. 3.2.2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TF 6B_782/2020 du 7 janvier 2021 consid. 3.1;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sur</w:t>
      </w:r>
    </w:p>
    <w:p>
      <w:r>
        <w:t>- 22 - cette distinction, cf. ATF 119 IV 25 consid 2a; TF 6B_1285/2017 du 14 mai 2018 consid. 2.1).</w:t>
      </w:r>
    </w:p>
    <w:p>
      <w:r>
        <w:rPr>
          <w:b/>
        </w:rPr>
        <w:t>E. 4.1</w:t>
      </w:r>
    </w:p>
    <w:p>
      <w:r>
        <w:t>L’appel est limité aux faits incriminés énoncés sous chiffres 1, 2, 4 et 12 de l’acte d’accusation (respectivement ch. 2.2.1, 2.2.2, 2.2.4 et 2.2.11).</w:t>
      </w:r>
    </w:p>
    <w:p>
      <w:r>
        <w:t>- 23 -</w:t>
      </w:r>
    </w:p>
    <w:p>
      <w:r>
        <w:rPr>
          <w:b/>
        </w:rPr>
        <w:t>E. 4.2.1</w:t>
      </w:r>
    </w:p>
    <w:p>
      <w:r>
        <w:t>Selon l'art. 15 CP, quiconque, de manière contraire au droit, est attaqué ou menacé d'une attaque imminente a le droit de repousser l'attaque par des moyens proportionnés aux circonstances. La légitime défense peut s’exercer pour autrui, indépendamment d’un devoir de garant (ATF 129 IV 6 consid. 3.2, JdT 2005 IV 215; Dupuis/Moreillon/ Piguet/Berger/Mazou/Rodigari [éd.], Petit commentaire CP, 2e éd., Bâle 2017, n. 18 ad art. 15 CP et les références citées). Elle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TF 6B_1171/2017 du 12 avril 2018 consid. 3.1; TF 6B_600/2014 du 23 janvier 2015 consid. 5.1 non publié in ATF 141 IV 61).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TF 6B_588/2020 du 15 février 2021 consid. 2.1;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TF 6B_508/2021 du 14 janvier 2022 consid. 1.4.1.; TF 6B_508/2021 du 14 janvier 2022 consid. 1.4.1; TF 6B_903/2020 du 10 mars 2021 consid. 4.2).</w:t>
      </w:r>
    </w:p>
    <w:p>
      <w:r>
        <w:t>- 24 -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ATF 102 IV 65 consid. 2a; ATF 101 IV 119;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p. 260), tout en devant permettre d’écarter efficacement le danger (ATF 136 IV 49 précité consid. 4.2; ATF 107 IV 12 consid. 3b; Trechsel/Geth, in : Trechsel/Pieth [éd.], op. cit.,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ATF 107 IV 12 précité consid. 3; ATF 102 IV 65 précité; TF 6B_6/2017 du 28 février 2018 consid. 4.1).</w:t>
      </w:r>
    </w:p>
    <w:p>
      <w:r>
        <w:rPr>
          <w:b/>
        </w:rPr>
        <w:t>E. 4.2.2</w:t>
      </w:r>
    </w:p>
    <w:p>
      <w:r>
        <w:t>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précité; Dupuis et al. [éd.], op. cit., n. 11 ad art. 16 CP). Si l’auteur ne peut pas être mis au bénéfice de l’art. 16 al. 2 CP, cela n’exclut pas une réduction de peine au sens de l’art. 16 al. 1 CP (cf. TF 6B_1015/2014 du 1er juillet 2015 consid. 3).</w:t>
      </w:r>
    </w:p>
    <w:p>
      <w:r>
        <w:t>- 25 -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TF 6B_873/2018 du 15 février 2019 consid. 1.1.3; TF 6B_853/2016 du 18 octobre 2017 consid. 2.2.4).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6B_922/2018 précité; TF 6B_1015/2014 précité consid. 3.2; TF 6B_889/2013 du 17 février 2014 consid. 3.1). Une simple agitation ou une simple émotion ne suffit pas (TF 6B_922/2018 précité; TF 6B_853/2016 précité; TF 6B_810/2011 du 30 août 2012 consid. 5.3.2). Il faut au contraire que l'état d'excitation ou de saisissement auquel était confronté l'auteur à la suite de l'attaque l'ait empêché de réagir de manière pondérée et responsable (TF 6B_922/2018 précité; TF 6B_971/2018 du 7 novembre 2019 consid. 2.3.4; TF 6B_873/2018 précité). La surprise découlant d'une attaque totalement inattendue peut générer un état de saisissement excusable (ATF 101 IV 119 précité; TF 6B_922/2018 précité; TF 6B_65/2011 du 8 septembre 2011 consid. 3.2; Dupuis et al. [éd.],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TF 6B_922/2018 précité; TF 6B_1015/2014 précité).</w:t>
      </w:r>
    </w:p>
    <w:p>
      <w:r>
        <w:rPr>
          <w:b/>
        </w:rPr>
        <w:t>E. 5</w:t>
      </w:r>
    </w:p>
    <w:p>
      <w:r>
        <w:t>- 26 -</w:t>
      </w:r>
    </w:p>
    <w:p>
      <w:r>
        <w:rPr>
          <w:b/>
        </w:rPr>
        <w:t>E. 5.1</w:t>
      </w:r>
    </w:p>
    <w:p>
      <w:r>
        <w:t>En l’espèce, les faits relatés au chiffre 1 de l’acte d’accusation n’ont aucun caractère spécifique. Ils se limitent à décrire, en des termes généraux, les actes incriminés distincts relatés ultérieurement. Redondants, ils ne sauraient donc fonder une incrimination pénale séparée, singulièrement pour voies de fait qualifiées, indépendamment des autres actes retenus par ailleurs. L’aveu du prévenu à cet égard (jugement, p. 10, 2e par.) ne constitue ainsi rien d’autre qu’une déclaration de portée générale. L’appelant doit dès lors être libéré de ce chef de prévention à raison des faits relatés au chiffre 1 de l’acte d’accusation.</w:t>
      </w:r>
    </w:p>
    <w:p>
      <w:r>
        <w:rPr>
          <w:b/>
        </w:rPr>
        <w:t>E. 5.2</w:t>
      </w:r>
    </w:p>
    <w:p>
      <w:r>
        <w:t>Pour ce qui est des faits relatés au chiffre 2 de l’acte d’accusation, l’appelant ne conteste pas sérieusement avoir giflé l’intimée. En effet, on peine à comprendre comme il aurait pu la frapper par inadvertance, qui plus est au moyen de son bras gauche (jugement, p. 10, 3e par.), alors qu’il est droitier, comme il l’a relevé à l’audience d’appel. Il met en revanche en cause l’intensité et, partant, les conséquences de son geste, dont il nie qu’il ait pu être à l’origine de la perforation du tympan alléguée par la plaignante. Cette lésion n’est pas prouvée par avis médical, alors même que, si elle avait subi une atteinte aussi grave, notoirement douloureuse et de nature à affecter son audition et, partant, à lui occasionner un handicap significatif, l’intimée aurait assurément consulté un médecin, lequel aurait posé un diagnostic. Il s’ensuit qu’elle n’est pas crédible lorsqu’elle allègue, sans aucun élément matériel à l’appui, que la gifle assénée par le prévenu lui a occasionné une perforation du tympan. Une telle atteinte ne peut donc pas être retenue en fait. Partant, la qualification de lésions corporelles simples qualifiées (art. 123 ch. 1 et ch. 2 al. 5 CP) ne saurait être posée en droit. Elle doit être abandonnée en faveur de celle de voies de fait qualifiées (art. 126 al. 1 et al. 2 let. c CP), en présence d’une gifle sans conséquence dommageable établie au préjudice de la plaignante, d’autant que le Ministère public n’avait pas requis la condamnation pour lésions corporelles aux débats (jugement, p. 27).</w:t>
      </w:r>
    </w:p>
    <w:p>
      <w:r>
        <w:t>- 27 - Pour le reste, les conditions de la légitime défense, respectivement même de la défense excusable, ne sont pas réunies, le geste en question n’ayant rien de défensif et s’avérant manifestement disproportionné à l’attaque subie. La Cour précisera à cet égard que l’appelant est de relativement forte corpulence (1 m 83 pour 95 kg, comme il l’a indiqué à l’audience d’appel), alors que l’intimée est sensiblement plus gracile (1 m 70 pour 65 kg, au souvenir du prévenu). En effet, l’auteur ne s’est pas contenté de repousser sa compagne pour l’éloigner de lui, mais l’a frappée alors même que cela n’était nullement nécessaire pour échapper aux objets qu’elle jetait dans sa direction. De plus, l’appelant avait la possibilité d’esquiver l’attaque ou de quitter les lieux.</w:t>
      </w:r>
    </w:p>
    <w:p>
      <w:r>
        <w:rPr>
          <w:b/>
        </w:rPr>
        <w:t>E. 5.3</w:t>
      </w:r>
    </w:p>
    <w:p>
      <w:r>
        <w:t>Pour ce qui est des faits relatés au chiffre 4 de l’acte d’accusation, il est constant que l’appelant a dû faire face à un comportement particulièrement menaçant et imprévisible de la part de l’intimée, qui était du reste alcoolisée (0,67 mg/l). Il lui a asséné une gifle dans le but de la calmer, ce qui a apparemment eu l’effet escompté, dès lors que le comportement agressif de la plaignante a pris fin sitôt après. Ce geste est demeuré sans conséquence dommageable établie pour elle. Partant, la qualification de voies de fait qualifiées (art. 126 al. 1 et al. 2 let. c CP) doit être retenue, comme retenu par les premiers juges. Ici encore, l’appelant fait plaider la légitime défense, subsidiairement la défense excusable. Le geste en question n’avait rien de défensif. En effet, l’auteur ne s’est pas contenté de repousser sa compagne pour l’éloigner de lui, mais l’a frappée alors même que cela n’était nullement nécessaire pour échapper au comportement agressif dirigé contre lui. Ici également, il avait la possibilité d’esquiver l’attaque ou de quitter les lieux.</w:t>
      </w:r>
    </w:p>
    <w:p>
      <w:r>
        <w:rPr>
          <w:b/>
        </w:rPr>
        <w:t>E. 5.4</w:t>
      </w:r>
    </w:p>
    <w:p>
      <w:r>
        <w:t>S’agissant enfin des faits relatés au chiffre 12 de l’acte d’accusation, il est constant que l’appelant a saisi l’intimée par le bras après avoir été importuné par elle, ce qu’il a admis, en particulier, à l’audience d’appel; l’intéressée est tombée. Elle s’éloignait alors toutefois</w:t>
      </w:r>
    </w:p>
    <w:p>
      <w:r>
        <w:t>- 28 - de lui. Ce geste est demeuré sans conséquences dommageables établies pour la plaignante. En présence d’une telle atteinte à l’intégrité corporelle, la qualification de voies de fait qualifiées (art. 126 al. 1 et al. 2 let. c CP) doit être retenue, comme retenu par les premiers juges. Ici encore, l’appelant fait plaider la légitime défense, subsidiairement la défense excusable. A l’instar des autres, le geste en question n’avait rien de défensif. En effet, il ne tendait pas à parer une attaque, dès lors que l’importune s’éloignait du prévenu, du propre aveu de celui-ci (jugement, p. 12, 2e par., et p. 54, 3e par in fine). Ici encore, l’appelant avait la possibilité d’esquiver l’attaque ou de quitter les lieux.</w:t>
      </w:r>
    </w:p>
    <w:p>
      <w:r>
        <w:rPr>
          <w:b/>
        </w:rPr>
        <w:t>E. 6.1</w:t>
      </w:r>
    </w:p>
    <w:p>
      <w:r>
        <w:t>La nouvelle qualification d’une infraction en faveur du prévenu et l’abandon d’un chef de prévention impliquent de fixer à nouveau la peine.</w:t>
      </w:r>
    </w:p>
    <w:p>
      <w:r>
        <w:rPr>
          <w:b/>
        </w:rPr>
        <w:t>E. 6.2.1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w:t>
      </w:r>
    </w:p>
    <w:p>
      <w:r>
        <w:t>- 29 -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6.3.1</w:t>
      </w:r>
    </w:p>
    <w:p>
      <w:r>
        <w:t>Dans le cas particulier, le prévenu, dont la responsabilité pénale est entière, a, de manière récurrente, privilégié la violence physique au détriment de l’esquive ou de la fuite. Il a agi de manière excessive au détriment d’un bien juridiquement protégé important, à savoir l’intégrité corporelle. S’il a été plus victime que bourreau lors des</w:t>
      </w:r>
    </w:p>
    <w:p>
      <w:r>
        <w:t>- 30 - nombreuses altercations, il n’a pas su apaiser la situation, voire même l’a envenimée. C’est ainsi qu’il a notamment, à une occasion, défié l’intimée de le « planter » avec un « cutter » (ch. 2.2.4); ce comportement doit être tenu pour une provocation délibérée d’une portée d’autant plus importante que le prévenu lui a mis l’ustensile en main et que, les 17 février, 11 mars et 6 avril 2020, il avait pu réagir face à une menace au moyen d’une arme blanche (ch. 2.2.7, 2.2.8 et 2.2.10). En outre, l’appelant ne s’est pas opposé à ce que l’intimée boive de l’alcool immodérément à leur domicile commun, alors même qu’il savait qu’elle pouvait devenir violente sous l’effet de la boisson. Plus encore, le 20 décembre 2019, il l’a obligée à boire un verre de vodka (ch. 2.2.5). Enfin, il y a pluralité d’épisodes, ce qui réalise le concours (art. 49 al. 1 CP). Il s’agit d’autant d’éléments à charge. A décharge, d’abord, le prévenu a eu à souffrir de l’attitude de sa compagne, qui était, comme déjà relevé, le plus souvent à l’origine des épisodes de violence. Il s’est ainsi retrouvé enferré dans une relation rendue toxique essentiellement par l’intimée. On peut, dans une certaine mesure, comprendre que le comportement de sa partenaire, violent, imprévisible et empreint de mensonges récurrents, l’a parfois poussé à bout. Ensuite, il a laissé une impression favorable à l’audience d’appel, en montrant qu’il avait pris du recul par rapport aux événements et qu’il reconnaissait sa part de responsabilité. A cet égard, c’est avec clairvoyance qu’il a relevé avoir compris qu’il n’arrivait pas à sortir de cette spirale de violence avec la plaignante. Enfin, son intégration socio- professionnelle est bonne; en particulier, son comportement comme voisin s’avère irréprochable à dire de témoins (jugement, p. 19 s. et p. 21 s.). Pour le reste, l’absence d’antécédent constitue un élément neutre (ATF 136 IV 1).</w:t>
      </w:r>
    </w:p>
    <w:p>
      <w:r>
        <w:rPr>
          <w:b/>
        </w:rPr>
        <w:t>E. 6.3.2</w:t>
      </w:r>
    </w:p>
    <w:p>
      <w:r>
        <w:t>Le seul chef de prévention subsistant est celui de voies de fait qualifiées (art. 126 al. 1 et al. 2 let. c CP), infraction punie de l’amende. Trois épisodes sont en cause (ch. 2, 4 et 12 de l’acte d’accusation). Le plus grave est celui survenu au mois d’août 2019 (ch. 2 de l’acte d’accusation),</w:t>
      </w:r>
    </w:p>
    <w:p>
      <w:r>
        <w:t>- 31 - suivi de celui du 22 novembre 2019 (ch. 4 de l’acte d’accusation), celui du</w:t>
      </w:r>
    </w:p>
    <w:p>
      <w:r>
        <w:rPr>
          <w:b/>
        </w:rPr>
        <w:t>E. 10</w:t>
      </w:r>
    </w:p>
    <w:p>
      <w:r>
        <w:t>mai 2020 apparaissant le moins grave (ch. 12 de l’acte d’accusation). Le premier épisode doit être réprimé par une amende d’une quotité de 250 fr., la peine globale s’élevant à 500 fr. par l’effet du concours. Doit en être déduite la somme de 200 fr. à titre de réparation morale pour les deux jours de détention subis par le prévenu de manière injustifiée les 20 et 21 décembre 2019 (art. 431 al. 1 CPP; ATF 142 IV 245 consid. 4.1 et les références citées; ATF 141 IV 349 consid. 2.1; TF 1B_284/2021 du 28 juillet 2021 consid. 2.2.5). La peine privative de liberté de substitution en cas de non-paiement fautif du solde de l’amende, soit 300 fr., sera arrêtée à trois jours (art. 106 al. 3 CP). 7. L’appelant succombe à l’action pénale nonobstant la nouvelle qualification d’une infraction et l’abandon d’un chef de prévention. Il n’y a donc pas lieu de modifier en sa faveur la répartition des frais de première instance (art. 426 al. 1, 1re phrase, CPP). 8. La détention subie par D.________ depuis le jugement de première instance sera déduite d’office (art. 51 CP). Son maintien en exécution anticipée de peine sera également ordonné d’office, pour garantir l’exécution de la peine privative de liberté, du traitement institutionnel et de l’expulsion prononcés à son encontre. 9. Vu l’issue de l’appel, les frais d’appel (art. 21 al. 1 et 2 TFIP [Tarif des frais de procédure et indemnités en matière pénale du 28 septembre 2010; RSV 312.03.1]), seront mis par moitié à la charge de l’appelant, qui succombe dans une large mesure (art. 428 al. 1, 1re phrase, CPP), le solde étant laissé à la charge de l’Etat. Outre l’émolument, par 3'120 fr., les frais d’appel comprennent l’indemnité en faveur du défenseur d’office du prévenu, ainsi que l’indemnité en faveur du conseil d’office de l’intimée.</w:t>
      </w:r>
    </w:p>
    <w:p>
      <w:r>
        <w:t>- 32 - L’indemnité de défense d’office doit être arrêtée sur la base d’une durée d’activité d’avocat utile de 11,65 heures. La durée demandée de 19,35 h (P. 226) est excessive. En particulier, la durée de deux heures au titre du poste « Conférence avec le client à l’Etude » (21 mars 2022) doit être ramenée à une heure, s’agissant d’un dossier déjà connu pour avoir été plaidé en première instance. Ensuite, le poste « Revue du dossier avant audience d’appel et préparation liste questions, bordereau et plaidoirie » (15 mars 2022), mentionné à raison de quatre heures, est redondant au regard des autres opérations indemnisées, de sorte qu’il doit être supprimé. De même, la durée de deux heures demandée (à raison de la moitié du tarif horaire indiqué) au titre des frais de déplacement, doit être supprimée au seul profit du forfait de 120 fr. mentionné ci-après. Doivent en outre être retranchées les pures opérations de secrétariat, soit 0,2 heure le 15 décembre 2022 et 0,5 heure le 15 décembre 2021. La durée d’activité de 11,65 heures correspond à des honoraires de 2'097 francs. Aux honoraires il convient d’ajouter des débours forfaitaires à concurrence de 2 % (art. 3bis al. 1 RAJ [Règlement du 7 décembre 2010 sur l'assistance judiciaire en matière civile; BLV 211.02.3], applicable par renvoi de l’art. 26b TFIP), ainsi qu’une vacation d’avocat de 120 fr. pour l’audience d’appel, plus la TVA sur le tout. L’indemnité s’élève donc à 2'432 fr. 85, débours et TVA compris. L’indemnité de conseil d’office en faveur du conseil d’office de l’intimée doit être arrêtée sur la base de la liste d’opérations produite (P. 225), à laquelle il suffit de renvoyer. L’indemnité s’élève donc à 2'505 fr. 35, débours et TVA compris, comme réclamé. L’appelant sera tenu de rembourser la moitié des indemnités de défense d’office et de conseil d’office prévues ci-dessus dès que sa situation financière le permettra (art. 135 al. 4 let. a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