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PE19.022582 vom 9. Mai 2022</w:t>
      </w:r>
    </w:p>
    <w:p>
      <w:r>
        <w:t>VD Tribunal cantonal, 2022-05-09, FR</w:t>
      </w:r>
    </w:p>
    <w:p>
      <w:r>
        <w:rPr>
          <w:b/>
        </w:rPr>
        <w:t xml:space="preserve">Quelle: </w:t>
      </w:r>
      <w:r>
        <w:t>https://mcp.opencaselaw.ch/entscheid/vd_gerichte_PE19.022582</w:t>
      </w:r>
    </w:p>
    <w:p>
      <w:r>
        <w:t>FR: VD_GERICHTE PE19.022582 du 9 mai 2022</w:t>
      </w:r>
    </w:p>
    <w:p>
      <w:r>
        <w:t>IT: VD_GERICHTE PE19.022582 del 9 maggio 2022</w:t>
      </w:r>
    </w:p>
    <w:p>
      <w:pPr>
        <w:pStyle w:val="Heading2"/>
      </w:pPr>
      <w:r>
        <w:t>Erwägungen</w:t>
      </w:r>
    </w:p>
    <w:p>
      <w:r>
        <w:rPr>
          <w:b/>
        </w:rPr>
        <w:t>E. 23</w:t>
      </w:r>
    </w:p>
    <w:p>
      <w:r>
        <w:t>LCD. Reste à examiner une éventuelle violation de l'art. 3 al. 1 let. b, c et f LCD, comme l’a retenu l’acte d'accusation.</w:t>
      </w:r>
    </w:p>
    <w:p>
      <w:r>
        <w:t>- 19 - On ne peut reprocher à l'appelant une violation de l'art. 3 al. 1 let. c LCD, dans la mesure où il n'a pas utilisé un titre ou une dénomination professionnelle inexacte. L'art. 3 al. 1 let. f LCD n'entre pas non plus en ligne de compte, dès lors qu'il n'a pas été établi que l'appelant aurait pratiqué des tarifs au forfait ou des prix défiants toute concurrence. En revanche, on peut reprocher à l'appelant une violation de l'art. 3 al. 1 let. b LCD. En effet, au regard de son comportement, les usagers n'étaient pas en mesure de distinguer les taxis dûment autorisés par la Municipalité du taxi de l'appelant. Or, il est établi que ce dernier circulait à [...] à proximité des places de taxi et y chargeait des clients. Par ailleurs, le nom de sa société apparaît sur le site local.ch dans le cadre de la recherche « taxi à [...] ». On peut également admettre une violation de l'art. 3 al. 1 let. d LCD, l'intéressé ayant par son comportement créé, pour les clients, un risque de confusion avec les plaignantes. 5. Dans le cas où il devait être reconnu coupable, l’appelant requiert que le délai d’épreuve fixé à trois ans soit ramené à deux ans. A l’appui de cette conclusion, il explique n’avoir jamais eu de condamnation pénale liée de près ou de loin avec son activité de taxi par le passé et affirme avoir toujours agi en étant convaincu qu'il respectait toutes les conditions posées par la loi. 5.1 Aux termes de l’art. 42 al. 1 CP,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w:t>
      </w:r>
    </w:p>
    <w:p>
      <w:r>
        <w:t>- 20 -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TF 6B_529/2019 du 5 juin 2019 consid. 3.1; TF 6B_1339/2016 du 23 mars 2017 consid. 1.1.2; TF 6B_1227/2015 du 29 juillet 2016 consid. 1.2.1). 5.2 En l’espèce, le premier juge a accordé le sursis à la peine prononcée et a fixé un délai d’épreuve de trois ans, soit un délai légèrement supérieur au minimum prévu par la loi. Ce délai se justifie dans la mesure où l’appelant est domicilié à [...] et qu’il va poursuivre son activité de chauffeur de taxi. Partant, un délai d’épreuve fixé à trois ans contribuera efficacement et durablement à dissuader l’appelant à réitérer son comportement illicite et à réduire le risque de récidive qui, en l’état, n’est pas négligeable. 6. Fondé sur son acquittement, l’appelant conteste le principe de l’allocation d’une indemnité au sens de l’art. 433 CPP en faveur des plaignantes. A titre subsidiaire, et dans le cas où il devrait être condamné, il conclut à la réduction du montant alloué à ce titre, soit 7'730 fr. 90, estimant que le temps consacré allégué par le conseil des plaignantes, à savoir plus de 25 heures, semblait totalement disproportionné. 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w:t>
      </w:r>
    </w:p>
    <w:p>
      <w:r>
        <w:t>- 21 -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w:t>
      </w:r>
    </w:p>
    <w:p>
      <w:r>
        <w:rPr>
          <w:b/>
        </w:rPr>
        <w:t>E. 28</w:t>
      </w:r>
    </w:p>
    <w:p>
      <w:r>
        <w:t>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w:t>
      </w:r>
    </w:p>
    <w:p>
      <w:r>
        <w:t>- 22 -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6.2 Dans la mesure où la culpabilité de l’appelant est confirmée, les plaignantes ont le droit à une indemnité pour les dépenses occasionnées par la procédure pénale au sens de l’art. 433 CPP. Le premier juge a considéré que les opérations invoquées dans les deux listes d’opérations produites par les plaignantes les 8 novembre 2021 et 9 mai 2022 étaient justifiées, sous réserve de la deuxième vacation au tribunal et de l’audience de lecture du jugement qui n’avaient pas eu lieu, et pour lesquelles le magistrat avait retranché un temps total de 80 minutes. Il a en outre retenu un tarif horaire à 270 francs. L’appelant ne met pas en lumière quelles opérations alléguées par les plaignantes seraient disproportionnées, pas plus qu’il ne conteste le tarif horaire retenu. Il n’y a dès lors pas lieu de s’écarter de l’appréciation du premier juge sur ce point. Le montant alloué aux plaignantes au titre de l’art. 433 CPP doit dès lors être confirmé. 7. L’appelant requiert une indemnité au sens de l'art. 429 CPP et à ce que les frais de justice de première instance soient laissés à la charge de l'Etat. Cette conclusion est fondée sur la prémisse de son acquittement des infractions à la LCD. La culpabilité de l'appelant étant confirmée, il doit supporter les frais de procédure conformément à l’art. 426 al. 1 CPP et n'a pas droit à l'allocation d'une indemnité au sens de l'art. 429 CPP. On relève au surplus que l’appelant a violé le règlement communal de [...] et qu’il a, par son comportement, provoqué l'ouverture de la procédure pénale dirigée</w:t>
      </w:r>
    </w:p>
    <w:p>
      <w:r>
        <w:t>- 23 - contre lui. Il convient donc de confirmer le dispositif en tant qu’il met les frais de justice de première instance à sa charge. 8. Au vu de ce qui précède, l’appel doit être rejeté et le jugement attaqué confirmé. Me Olga Collados Andrade, défenseur d’office de C.________, a produit une liste d’opérations dont il n’y a pas lieu de s’écarter sous réserve du retranchement de 60 minutes pour tenir compte de la durée effective de l’audience d’appel et de 25 minutes alléguées pour des opérations post-audience qui n’ont pas lieu d’être rémunérées ici. C’est ainsi une durée de 13 heures 20 d’activité d’avocat nécessaire qui sera admise, rémunérée au tarif horaire de 180 francs. Une indemnité d’office de 2’765 fr. 75, TVA et débours inclus, sera dès lors allouée pour la procédure d’appel. Les parties plaignantes, qui ont agi par le biais d’un avocat, ont droit à une indemnité pour les dépenses occasionnées par la procédure d’appel au sens de l’art. 433 CPP. Sur la base de la liste d’opérations produite par le conseil des plaignantes, Me Elodie Fuentes, sous réserve du retranchement de 30 minutes pour tenir compte du temps effectif de l’audience d’appel, cette indemnité peut être arrêtée à 2’304 fr. 35, correspondant à 7 heures et 20 minutes d’activité nécessaire d’avocat, au tarif horaire de 270 fr., débours et TVA inclus. Vu l’issue de la cause, les frais de la procédure d'appel, constitués en l’espèce de l’émolument de jugement, par 2’050 fr. (art. 21 al. 1 TFIP), ainsi que de l'indemnité due au défenseur d'office, par 2’765 fr. 75, seront mis à la charge de C.________ qui succombe (art. 428 al. 1 CPP). C.________ ne sera tenu de rembourser à l’Etat le montant de l’indemnité en faveur de son défenseur d’office que lorsque sa situation financière le permettra.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