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PE19.022164 vom 6. Dezember 2022</w:t>
      </w:r>
    </w:p>
    <w:p>
      <w:r>
        <w:t>VD Tribunal cantonal, 2022-12-06, FR</w:t>
      </w:r>
    </w:p>
    <w:p>
      <w:r>
        <w:rPr>
          <w:b/>
        </w:rPr>
        <w:t xml:space="preserve">Quelle: </w:t>
      </w:r>
      <w:r>
        <w:t>https://mcp.opencaselaw.ch/entscheid/vd_gerichte_PE19.022164</w:t>
      </w:r>
    </w:p>
    <w:p>
      <w:r>
        <w:t>FR: VD_GERICHTE PE19.022164 du 6 décembre 2022</w:t>
      </w:r>
    </w:p>
    <w:p>
      <w:r>
        <w:t>IT: VD_GERICHTE PE19.022164 del 6 dicembre 2022</w:t>
      </w:r>
    </w:p>
    <w:p>
      <w:pPr>
        <w:pStyle w:val="Heading2"/>
      </w:pPr>
      <w:r>
        <w:t>Erwägungen</w:t>
      </w:r>
    </w:p>
    <w:p>
      <w:r>
        <w:rPr>
          <w:b/>
        </w:rPr>
        <w:t>E. 5.1</w:t>
      </w:r>
    </w:p>
    <w:p>
      <w:r>
        <w:t>; TF 6B_1027/2018 du 7 novembre 2018 consid. 1.5), étant relevé à cet égard qu’il entretient d’ores et déjà des relations téléphoniques avec eux et que ses filles évoquent la possibilité de partir vivre au Kosovo. Par surabondance, quand bien même l’appelant pourrait se prévaloir d’un droit découlant de l'art. 8 § 1 CEDH sous l’angle du droit au respect de sa vie privée et familiale, force est de constater que l’intérêt public présidant à son expulsion l’emporterait sur son intérêt privé à</w:t>
      </w:r>
    </w:p>
    <w:p>
      <w:r>
        <w:t>- 36 - demeurer en Suisse. En effet, il convient de rappeler que les actes commis par le prévenu sont très graves, celui-ci ayant notamment fait subir des violences sexuelles à la mère de ses enfants, s’octroyant la prérogative de passer outre ses refus à réitérées reprises pendant plusieurs années. En outre, bien qu’il se soit engagé aux débats d’appel à lui verser une indemnité pour le tort moral subi, il n’a pas reconnu sa responsabilité dans les souffrances qu’elle a endurées et n’a manifestement toujours pas pris conscience de la gravité de ses actes, continuant à se victimiser et à faire preuve d’un irrespect total envers la mère de ses enfants jusqu’aux débats d’appel. Prétendre, par la voix de son avocat, qu’il ne représenterait pas un danger pour la société dès lors qu’il n’a commis des infractions que dans l’intimité du couple revient à considérer de manière générale que sa partenaire n’est pas membre de cette société et ne mérite pas protection. L’expulsion de l’appelant constitue donc une mesure proportionnée compte tenu de la gravité des infractions retenues et des perspectives d’intégration dans son pays d’origine, d’une part, et de sa situation familiale, d’autre part. L’appel de C.N.________ doit ainsi être rejeté sur ce point et son expulsion du territoire suisse pour cinq ans, soit la durée minimale prévue par la loi, ainsi que l’inscription de celle-ci au Système d’information Schengen (SIS), confirmée.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w:t>
      </w:r>
    </w:p>
    <w:p>
      <w:r>
        <w:t>- 27 - 137 consid. 9.1, JdT 2016 I 169 ; ATF 141 IV 61 consid. 6.1.1 et les références citées ; TF 6B_1403/2021 du 9 juin 2022 consid. 5.1, non publié à l’ATF 148 I 295).</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w:t>
      </w:r>
    </w:p>
    <w:p>
      <w:r>
        <w:t>- 28 - 313 précité ; ATF 144 IV 217, JdT 2018 IV 335 ; ATF 142 IV 265 consid. 2.3.2, JdT 2017 IV 129 ; TF 6B_776/2019 précité ; TF 6B_938/2019 du 18 novembre 2019 consid. 3.4.3).</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- 29 -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5.3.1</w:t>
      </w:r>
    </w:p>
    <w:p>
      <w:r>
        <w:t>Comme on l’a vu, c’est en vain que l’appelant plaide son acquittement des chefs d’accusation de contrainte sexuelle et de viol. A l’instar des premiers juges, il y a lieu de retenir en sus que sa culpabilité est lourde. En effet, les cas retenus à sa charge se sont déroulés sur une période relativement longue, pendant laquelle il a considéré son épouse comme sa chose, ne tenant pas compte de ses souhaits et la dénigrant constamment. Il s’en est notamment pris à l’intégrité sexuelle de sa femme, soit à l’un des biens juridiques les plus précieux. Les infractions commises entrent en concours. Jusqu’aux débats d’appel, il s’est posé en victime. Contrairement à ce qu’il soutient, il n’a pas pris conscience de ses fautes, n’a eu de cesse de rejeter celles-ci sur les autres (« j’ai menacé mon épouse de la jeter par le balcon parce qu’elle me cherchait »), les a minimisées (« il n’y a pas eu d’autres menaces que celle-ci »), s’est montré dédaigneux envers sa femme en audience (« il y a des femmes bien plus belles dans le monde »), l’a fait pleurer et a inventé des excuses absurdes (« je ne sais pas ce qu’est un concombre »). Il n’a exprimé ni remords, ni excuse, même lorsque la vie commune avait repris. S’il a accepté, aux débats d’appel, de dédommager son épouse pour le tort moral subi, c’est parce que son avocat le lui a conseillé. Il a toutefois prétendu que sa femme l’avait faussement accusé par vengeance, a affirmé que tout ce qu’elle avait déclaré n’avait rien à voir avec lui et a tenté de justifier la seule infraction admise, soit les menaces de mort, par la jalousie de celle-ci. A sa décharge, il y a lieu de prendre en compte ses soucis de santé depuis 2020 environ. L’absence d’antécédents a un effet neutre sur la peine.</w:t>
      </w:r>
    </w:p>
    <w:p>
      <w:r>
        <w:t>- 30 - L’appelant est en définitive reconnu coupable de menaces qualifiées, contrainte sexuelle et viol. Quand bien même son casier judiciaire était vierge, une peine privative de liberté s’impose pour sanctionner les infractions retenues à son encontre pour des motifs de prévention spéciale, dans la mesure où il n’a aucunement pris conscience de la gravité de ses actes, étant précisé que le viol n’est au demeurant passible que de ce genre de peine. Les premiers juges ont considéré qu’une peine privative de liberté de 42 mois était adéquate pour sanctionner le comportement du prévenu. En l’espèce, l’infraction la plus grave est la contrainte sexuelle retenue au considérant 2.4 ci-dessus, qui justifie à elle seule le prononcé d’une peine privative de liberté de dix-huit mois. Les effets du concours conduisent à l’augmentation de cette peine de base d’un an pour réprimer les viols et les contraintes sexuelles commis entre 2012 et 2019, et de six mois pour sanctionner les menaces qualifiées, de sorte que l’appelant doit être condamné à une peine privative de liberté de trois ans.</w:t>
      </w:r>
    </w:p>
    <w:p>
      <w:r>
        <w:rPr>
          <w:b/>
        </w:rPr>
        <w:t>E. 5.3.2</w:t>
      </w:r>
    </w:p>
    <w:p>
      <w:r>
        <w:t>Compte tenu de la quotité de la peine, il y a lieu d’examiner si les conditions d’un sursis partiel à l’exécution de celle-ci sont remplies. En l’espèce, les perspectives d’amendement de l’appelant sont mitigées. Certes, celui-ci n’a aucune inscription à son casier judiciaire et il a quitté le domicile conjugal. Toutefois, quand bien même il ressort des déclarations de son épouse qu’il a changé de comportement à l’égard de sa famille, le déni de ses actes est total. Cela étant, compte tenu de l’absence de tout antécédent judiciaire, on peut admettre que l’exécution d’une part de peine ferme aura un effet choc suffisant sur l’appelant pour permettre de lui octroyer un sursis pour le solde de sa peine. Le délai d’épreuve sera du maximum légal de cinq ans. Au vu de ce qui précède, l’appelant doit être condamné à une peine privative de liberté de trois ans, dont dix-huit mois fermes et dix-huit mois avec sursis pendant cinq ans.</w:t>
      </w:r>
    </w:p>
    <w:p>
      <w:r>
        <w:t>- 31 - L’appel doit donc être admis dans cette mesure.</w:t>
      </w:r>
    </w:p>
    <w:p>
      <w:r>
        <w:rPr>
          <w:b/>
        </w:rPr>
        <w:t>E. 6.1</w:t>
      </w:r>
    </w:p>
    <w:p>
      <w:r>
        <w:t>L’appelant, qui plaide notamment sa libération des chefs d’accusation de viol et de contrainte sexuelle, conteste son expulsion du territoire suisse pour une durée de cinq ans. Il fait en tout état de cause valoir qu’il vit en Suisse depuis vingt ans, qu’il n’a pas le moindre antécédent, et souligne qu’il est père de trois enfants dont il s’occupe beaucoup, de sorte que ses intérêts privés devraient l’emporter sur l’intérêt public à son expulsion. Il soutient à cet égard qu’il ne présenterait pas le moindre danger pour la société dès lors qu’il serait uniquement question d’infractions commises dans le cadre conjugal.</w:t>
      </w:r>
    </w:p>
    <w:p>
      <w:r>
        <w:rPr>
          <w:b/>
        </w:rPr>
        <w:t>E. 6.2.1</w:t>
      </w:r>
    </w:p>
    <w:p>
      <w:r>
        <w:t>Aux termes de l'art. 66a al. 1 let. h CP, le juge expulse de Suisse l'étranger qui est condamné pour contrainte sexuelle (art. 189 CP) ou viol (art. 190 CP) pour une durée de cinq à quinze ans, quelle que soit la quotité de la peine prononcée à son encontre.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w:t>
      </w:r>
    </w:p>
    <w:p>
      <w:r>
        <w:rPr>
          <w:b/>
        </w:rPr>
        <w:t>E. 6.2.2</w:t>
      </w:r>
    </w:p>
    <w:p>
      <w:r>
        <w:t>Selon l'art. 66a al. 2 CP, le juge peut exceptionnellement renoncer à une expulsion lorsque celle-ci mettrait l'étranger dans une</w:t>
      </w:r>
    </w:p>
    <w:p>
      <w:r>
        <w:t>- 32 -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t>- 33 -</w:t>
      </w:r>
    </w:p>
    <w:p>
      <w:r>
        <w:rPr>
          <w:b/>
        </w:rPr>
        <w:t>E. 6.2.3</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 principe une bonne intégration de l'étranger (ATF 144 I 266 consid. 3.9 ; TF 6B_1174/2021 précité).</w:t>
      </w:r>
    </w:p>
    <w:p>
      <w:r>
        <w:t>- 34 - Un étranger peut se prévaloir de l'art. 8 § 1 CEDH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6B_1174/2021 précité). Les relations familiales visées par l'art. 8 § 1 CEDH sont avant tout celles qui concernent la famille dite nucléaire, soit celles qui existent entre époux ainsi qu'entre parents et enfants mineurs vivant en ménage commun (ATF 144 II 1 précité ; ATF 135 I 143 consid. 1.3.2 ; TF 6B_177/2021 du 8 novembre 2021 consid. 3.1.3).</w:t>
      </w:r>
    </w:p>
    <w:p>
      <w:r>
        <w:rPr>
          <w:b/>
        </w:rPr>
        <w:t>E. 6.3</w:t>
      </w:r>
    </w:p>
    <w:p>
      <w:r>
        <w:t>En l’espèce, l’appelant a commis deux infractions qui tombent sous le coup de l’art. 66a al. 1 CP, de sorte qu’il remplit les conditions d’une expulsion obligatoire, sous réserve d’une application de l’art. 66a al. 2 CP. L’appelant, aujourd’hui âgé de 41 ans, est arrivé en Suisse il y a une vingtaine d’années, alors qu’il était déjà majeur. Il vit dans ce pays au bénéfice d’un permis d’établissement et est père de trois enfants, dont deux sont encore mineurs, qui vivent en Suisse avec leur mère, dont il est séparé depuis le 7 décembre 2022. Il séjourne chez sa sœur et a régulièrement des contacts avec ses enfants, à l’entretien desquels il ne contribue toutefois pas de manière régulière. Aux débats de première instance, il a déclaré qu’il souhaitait à terme retourner vivre au Kosovo, où vivent ses parents et l’une de ses sœurs, où il dispose d’une maison et se rend régulièrement en vacances, allant jusqu’à dire que dans son pays d’origine, « cela se passe 1000 fois mieux qu’ici. Il n’y a rien à payer, mise à part l’électricité. Il n’y a pas d’impôt rien du tout. Je veux quitter le pays. » (P. 23, p. 8). Ses liens avec le Kosovo demeurent par conséquent très importants, ses deux filles ayant du reste émis le souhait de s’y installer. Par ailleurs, s’il a certes déclaré avoir récemment retrouvé un emploi en Suisse après la faillite de son entreprise et les problèmes de santé qu’il a rencontrés, il n’a produit aucun contrat de travail attestant de sa nouvelle activité, qu’il n’a du reste pas annoncée à l’assurance- invalidité. Il est en outre lourdement endetté.</w:t>
      </w:r>
    </w:p>
    <w:p>
      <w:r>
        <w:t>- 35 - Compte tenu de ce qui précède, force est de constater que l’intégration de l’appelant en Suisse n’est pas particulièrement bonne et qu’un retour au Kosovo ne le placerait pas dans une situation grave. En effet, il n’apparaît pas qu’il s’y trouverait dans une situation sensiblement plus défavorable ni qu’il disposerait, en Suisse, de meilleures chances de réinsertion sociale que dans son pays d’origine, dont il parle couramment la langue, où il a vécu jusqu’à l’âge de 22 ans et où il dispose d’une maison et de solides attaches familiales. Cela étant, en raison de la présence de ses enfants en Suisse, force est de constater que C.N.________ subirait effectivement un préjudice du fait de son expulsion, dès lors qu’il serait contraint de s’éloigner de leur actuel lieu de vie. Toutefois, le comportement qu’il adopté dans le cadre conjugal rend vain toute tentative de sa part pour invoquer un droit supérieur au maintien de la relation avec son épouse et ses enfants, lesquels ont notamment assisté aux menaces de mort proférées à l’encontre de leur mère. Au demeurant, sa relation avec ses enfants ne suffit pas pour renoncer à son expulsion, étant rappelé qu’ils ne font pas ménage commun, qu’il ne contribue pas à leur entretien de manière régulière, qu’il n’a pas été démontré qu’il existerait entre eux un lien particulièrement fort allant au-delà d’une relation ordinaire entre un père et ses enfants, et qu’il s’est désintéressé de ceux-ci depuis 2017 et « vivait comme un célibataire », selon son épouse, jusqu’à ce qu’elle dépose plainte. Il sied encore de relever que l’expulsion du prévenu portera bien évidemment atteinte aux relations qu’il entretient avec ses enfants. Elle reste cependant de durée limitée – soit de cinq ans – et ne l’empêchera pas d’entretenir un contact avec eux par le biais des moyens de communication modernes (ATF 144 I 91 consid.</w:t>
      </w:r>
    </w:p>
    <w:p>
      <w:r>
        <w:rPr>
          <w:b/>
        </w:rPr>
        <w:t>E. 7</w:t>
      </w:r>
    </w:p>
    <w:p>
      <w:r>
        <w:t>Dans sa déclaration d’appel, C.N.________ a contesté l’allocation d’une indemnité de 5'000 fr. en faveur de son épouse pour le tort moral subi. Aux débats d’appel, il s’est toutefois engagé, sans reconnaissance de responsabilité, à verser à celle-ci un montant de 5'000 fr. à ce titre. Ce grief est dès lors sans objet.</w:t>
      </w:r>
    </w:p>
    <w:p>
      <w:r>
        <w:rPr>
          <w:b/>
        </w:rPr>
        <w:t>E. 8</w:t>
      </w:r>
    </w:p>
    <w:p>
      <w:r>
        <w:t>L’appelant fait valoir que sa libération à raison des faits retenus aux chiffres 1 et 3 de l’acte d’accusation devrait conduire à limiter à un sixième la part des frais mise à sa charge, le solde devant être laissé à la charge de l’Etat.</w:t>
      </w:r>
    </w:p>
    <w:p>
      <w:r>
        <w:t>- 37 - Dès lors que sa condamnation à raison de ces faits est confirmée, cette conclusion est sans objet.</w:t>
      </w:r>
    </w:p>
    <w:p>
      <w:r>
        <w:rPr>
          <w:b/>
        </w:rPr>
        <w:t>E. 9</w:t>
      </w:r>
    </w:p>
    <w:p>
      <w:r>
        <w:t>En définitive, l’appel de C.N.________ doit être partiellement admis et le jugement entrepris réformé dans le sens des considérants qui précèdent.</w:t>
      </w:r>
    </w:p>
    <w:p>
      <w:r>
        <w:rPr>
          <w:b/>
        </w:rPr>
        <w:t>E. 9.1</w:t>
      </w:r>
    </w:p>
    <w:p>
      <w:r>
        <w:t>Il n’y a pas lieu de s’écarter de la liste des opérations produite par Me Michael Stauffacher, défenseur d’office de l’appelant, qui fait état de 24.08 heures d’activité d’avocat au tarif horaire de 180 fr., y compris la durée de l’audience d’appel, et d’une vacation, ainsi que de débours forfaitaires à hauteur de 2 % des honoraires annoncés. C’est ainsi une indemnité de défenseur d’office d'un montant de 4'890 fr. 75, correspondant à une activité d’avocat de 24.08 heures au tarif horaire de 180 fr., par 4’334 fr. 40, à des débours forfaitaires à concurrence de 2 % des honoraires admis (art. 3bis RAJ (règlement sur l’assistance judiciaire en matière civile du 7 décembre 2010 ; BLV 211.02.3), applicable par renvoi de l’art. 26b TFIP (tarif des frais de procédure et indemnités en matière pénale du 28 septembre 2010 ; BLV 312.03.1), par 86 fr. 70, à une vacation à 120 fr. et à la TVA au taux de 7,7 %, par 349 fr. 65, qui sera allouée à Me Michael Stauffacher pour la procédure d’appel. Quant à la liste des opérations produite par Me Zakia Arnouni, conseil d’office de B.N.________, elle fait état de 12.49 heures consacrées au mandat, hors audience d’appel, dont 0.83 heure dévolue à des opérations post audience de première instance, 0.5 heure à des « opérations post décision » et 1.5 heure consacrée à la rédaction d’un projet de convention de retrait de plainte, ainsi que d’une vacation et de débours forfaitaires à hauteur de 2 %. Il n’y a pas lieu de s’écarter du temps ainsi allégué, si ce n’est pour retrancher la durée dévolue aux opérations post audience de première instance, celles-ci n’ayant pas lieu d’être indemnisées dans le cadre de la procédure d’appel, ainsi que le temps consacré à la rédaction d’un projet de convention et aux opérations post audience d’appel, la plainte ayant été retirée d’entrée de cause. Ainsi, une indemnité de conseil d’office d'un montant de 2'040 fr. 70,</w:t>
      </w:r>
    </w:p>
    <w:p>
      <w:r>
        <w:t>- 38 - correspondant à une activité de 9 h 40 au tarif horaire de 180 fr., par 1’740 fr., à des débours forfaitaires à hauteur de 34 fr. 80, à une vacation à 120 fr. et à la TVA au taux de 7,7 %, par 145 fr. 90, sera allouée à Me Zakia Arnouni pour la procédure d’appel.</w:t>
      </w:r>
    </w:p>
    <w:p>
      <w:r>
        <w:rPr>
          <w:b/>
        </w:rPr>
        <w:t>E. 9.2</w:t>
      </w:r>
    </w:p>
    <w:p>
      <w:r>
        <w:t>Vu l’issue de la cause, les frais de la procédure d’appel, par 10'601 fr. 45, constitués en l’espèce de l'émolument de jugement, par 3’670 fr. (art. 21 al. 1 et 2 TFIP), ainsi que des indemnités allouées au défenseur d’office de C.N.________, par 4'890 fr. 75, et au conseil d’office de B.N.________, par 2'040 fr. 70, seront mis par cinq sixièmes, soit par 8’834 fr. 55, à la charge de l’appelant, qui succombe dans une très large mesure, le solde étant laissé à la charge de l’Etat (art. 428 al. 1 CPP). C.N.________ sera tenu de rembourser à l’Etat la part mise à sa charge des montants des indemnités en faveur de son défenseur d’office et du conseil d’office de B.N.________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