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PE19.022117 vom 22. September 2021</w:t>
      </w:r>
    </w:p>
    <w:p>
      <w:r>
        <w:t>VD Tribunal cantonal, 2021-09-22, FR</w:t>
      </w:r>
    </w:p>
    <w:p>
      <w:r>
        <w:rPr>
          <w:b/>
        </w:rPr>
        <w:t xml:space="preserve">Quelle: </w:t>
      </w:r>
      <w:r>
        <w:t>https://mcp.opencaselaw.ch/entscheid/vd_gerichte_PE19.022117</w:t>
      </w:r>
    </w:p>
    <w:p>
      <w:r>
        <w:t>FR: VD_GERICHTE PE19.022117 du 22 septembre 2021</w:t>
      </w:r>
    </w:p>
    <w:p>
      <w:r>
        <w:t>IT: VD_GERICHTE PE19.022117 del 22 settembre 2021</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w:t>
      </w:r>
    </w:p>
    <w:p>
      <w:r>
        <w:rPr>
          <w:b/>
        </w:rPr>
        <w:t>E. 3.1</w:t>
      </w:r>
    </w:p>
    <w:p>
      <w:r>
        <w:t>L’appelant fait valoir qu’il aurait dû être renoncé à la révocation du sursis accordé le 10 avril 2017, qu’il aurait dû être</w:t>
      </w:r>
    </w:p>
    <w:p>
      <w:r>
        <w:t>- 8 - condamné à une peine d’une quotité inférieure à celle prononcée et que la peine qui lui a été infligée aurait dû être assortie d’un sursis.</w:t>
      </w:r>
    </w:p>
    <w:p>
      <w:r>
        <w:rPr>
          <w:b/>
        </w:rPr>
        <w:t>E. 3.2.1</w:t>
      </w:r>
    </w:p>
    <w:p>
      <w:r>
        <w:t>Aux termes de l'art. 42 al. 1 CP, le juge suspend en règle générale l'exécution d'une peine pécuniaire ou d'une peine privative de liberté de deux ans au plus lorsqu'une peine ferme ne paraît pas nécessaire pour détourner l'auteur d'autres crimes ou délits. Selon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w:t>
      </w:r>
    </w:p>
    <w:p>
      <w:r>
        <w:t>- 9 - changement d'attitude face à ses actes (TF 6B_171/2007 du 23 juillet 2007 consid. 4). Le juge dispose d'un large pouvoir d'appréciation en la matière (ATF 134 IV 1 consid. 5.2 ; TF 6B_1285/2017 du 14 mai 2018 consid. 4.1 ; TF 6B_392/2016 du 10 novembre 2016).</w:t>
      </w:r>
    </w:p>
    <w:p>
      <w:r>
        <w:rPr>
          <w:b/>
        </w:rPr>
        <w:t>E. 3.2.2</w:t>
      </w:r>
    </w:p>
    <w:p>
      <w:r>
        <w:t>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w:t>
      </w:r>
    </w:p>
    <w:p>
      <w:r>
        <w:t>- 10 -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rPr>
          <w:b/>
        </w:rPr>
        <w:t>E. 3.3.1</w:t>
      </w:r>
    </w:p>
    <w:p>
      <w:r>
        <w:t>L’appelant fait valoir que la peine prononcée le 10 avril 2017 était en lien avec des infractions très spécifiques, du moins par leur cadre et circonstances. Elles avaient été commises dans un cadre domestique et privé. Même s’il s’agissait déjà de lésions corporelles, celles-ci étaient en lien exclusif avec des violences « correctives » et isolées à l’égard de sa fille, il y a plus de 7 ans. L’appelant n’avait d’ailleurs commis aucun acte répréhensible avec ses enfants depuis lors. Pour le surplus, les inscriptions au casier judiciaire étaient la conséquence de simples ordonnances pénales rendues pour des infractions mineures. Il n’y avait dès lors pas de récidive spéciale et le pronostic n’était pas défavorable. L’appelant avait émis spontanément dès le début des regrets et avait reconnu avoir mal agi. Dans un argument subsidiaire, l’appelant plaide qu’en cas de révocation du sursis, il fallait examiner l’impact de celle-ci sur le risque de récidive future, ce que les premiers juges n’avaient pas fait. Or la révocation du sursis était de nature à le détourner de toute récidive à l’avenir. Pour les premiers juges, le pronostic pour un sursis est résolument défavorable au regard des antécédents et cette appréciation doit être confirmée. D’une part, le prévenu a déjà bénéficié de cette mesure de clémence et n’en a tenu aucun compte. Contrairement à ce</w:t>
      </w:r>
    </w:p>
    <w:p>
      <w:r>
        <w:t>- 11 - qu’il soutient en appel, il n’y a pas de prise de conscience ou de regrets exprimés durant la procédure, bien au contraire. Tout d’abord, il tente de se disculper en rejetant la faute sur le plaignant et en niant certains éléments retenus dans l’acte d’accusation. Ainsi il a expliqué que le plaignant n’arrêtait pas de l’embêter, qu’il l’aurait insulté et qu’il l’aurait frappé le premier. En réalité, rien de tout cela n’est avéré, les faits décrits dans l’acte d’accusation étant établis par la vidéosurveillance de la prison de [...]. Le prévenu a également prétendu avoir été frappé à un endroit douloureux car il venait de se faire extraire une dent et a nié avoir recouru à une tondeuse à cheveux pour frapper son antagoniste ou s’être mis d’accord avec R.________ avant de s’en prendre au plaignant alors que le contraire est avéré. Cette posture procédurale paraît peu compatible avec une sincère expression de regrets, même s’ils ont été exprimés aux débats. Il ne peut ainsi être considéré qu’il y a une prise de conscience qui permettrait d’augurer un changement de comportement, en d’autres termes une introspection réelle sur son propre comportement, nécessaire à l’établissement d’un pronostic favorable. Par ailleurs, la récidive spéciale doit être retenue. Peu importe que la victime précédente ait été un membre de sa famille et que l’acte par lequel il s’en est pris à un détenu ait eu lieu dans un autre contexte, à savoir pendant l’exécution de la part ferme de la première peine. Le prévenu n’a toujours pas compris que l’intégrité corporelle des tiers, famille ou codétenu, était protégée. Quelque différentes aient été les pulsions du prévenu au moment des gestes punissables, force est de constater qu’elles ne sont pas encore contrôlées et que le prévenu ne sait toujours pas privilégier la parole pour résoudre un différend ou asseoir son autorité, puisque c’est bien de cela qu’il s’est agi dans le cas d’espèce comme dans le précédent pour lequel il a été condamné. Le prévenu a agi durant le délai d’épreuve de cinq ans, prolongé depuis lors et au sujet duquel le prévenu a été averti, assortissant la condamnation avec sursis partiel qui lui a été infligée le 10 avril 2017 par le Tribunal correctionnel de l’arrondissement de l’Est vaudois. Il s’impose de révoquer ce sursis, le prévenu n’ayant manifestement pas saisi la portée de ce gage de confiance des autorités en récidivant après avoir été averti au sujet de son sursis. Enfin, s’agissant de l’octroi d’un sursis à la nouvelle peine au motif que l’exécution de la</w:t>
      </w:r>
    </w:p>
    <w:p>
      <w:r>
        <w:t>- 12 - première permettrait de retenir un pronostic favorable, il faut souligner que la récidive a eu lieu précisément en milieu carcéral lors de l’exécution de la part ferme de la peine prononcée, ce qui amène à considérer que la détention n’a pas un effet dissuasif sur l’intéressé.</w:t>
      </w:r>
    </w:p>
    <w:p>
      <w:r>
        <w:rPr>
          <w:b/>
        </w:rPr>
        <w:t>E. 3.3.2.1</w:t>
      </w:r>
    </w:p>
    <w:p>
      <w:r>
        <w:t>L’appelant rappelle qu’il souffre d’un trouble mixte de la personnalité, d’un trouble dépressif et d’un état de stress post- traumatique avec risque de décompensation dans un milieu carcéral (P. 1 à 3 du bordereau du 21 septembre 2021). Son état psychique a augmenté son ressenti face aux provocations du lésé et ce sont là, selon lui, des motifs de réduction de peine.</w:t>
      </w:r>
    </w:p>
    <w:p>
      <w:r>
        <w:rPr>
          <w:b/>
        </w:rPr>
        <w:t>E. 3.3.2.2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6B_776/2020 du 5 mai 2021, destiné à la publication, consid. 4.1 ; TF 6B_757/2020 du 4 novembre 2020 consid. 3.1.1).</w:t>
      </w:r>
    </w:p>
    <w:p>
      <w:r>
        <w:t>- 13 -</w:t>
      </w:r>
    </w:p>
    <w:p>
      <w:r>
        <w:rPr>
          <w:b/>
        </w:rPr>
        <w:t>E. 3.3.2.3</w:t>
      </w:r>
    </w:p>
    <w:p>
      <w:r>
        <w:t>Force est de constater, en l’espèce, avec les premiers juges, que la faute de J.________ est importante. Comme les magistrats l’ont indiqué à juste titre, sans que cela soit remis en question par l’appelant, ce dernier est un récidiviste qui s’en est pris à l’intégrité physique d’autrui alors qu’il était en train d’exécuter une peine privative de liberté. Il a agi de manière sournoise et lâche, en supériorité numérique et de façon concertée avec un comparse. Dans le cadre d’une expédition punitive orchestrée, il a frappé un codétenu qui en a subi des conséquences physiques. Le fait d’avoir fait l’objet d’insultes voire de quolibets de la part du plaignant, comme il l’a expliqué, ne justifiait aucunement le recours à un tel déchaînement de violence. A décharge, les premiers juges ont retenu que le prévenu avait exprimé des regrets lors des débats et reconnu devoir un montant à titre de réparation du tort moral de la victime et qu’il avait déjà été sanctionné disciplinairement en prison. A cela s’ajoute, comme plaidé en appel, que le prévenu souffre de troubles psychiques graves et chroniques susceptibles de décompenser en milieu carcéral (P. 51). Le choix d’une peine privative de liberté s’impose face à ce multirécidiviste. Les lésions corporelles simples qualifiées sont passibles d’une peine privative de liberté de trois ans (art. 123 ch. 2 al. 2 CP), si bien que la quotité de la peine, de 6 mois, telle que proposée par le Ministère public et qui a été prononcée, s’avère adéquate.</w:t>
      </w:r>
    </w:p>
    <w:p>
      <w:r>
        <w:rPr>
          <w:b/>
        </w:rPr>
        <w:t>E. 4</w:t>
      </w:r>
    </w:p>
    <w:p>
      <w:r>
        <w:t>Au vu de ce qui précède, l’appel de J.________ doit être intégralement rejeté et le jugement entrepris confirmé. Me Vincent Demierre, défenseur d’office, a droit à une indemnité pour la procédure d’appel (art. 422 al. 1 et al. 2 let. a CPP). Il a produit une liste des opérations (P. 67/1) faisant état de 5h40 d’activité d’avocat, ce qui peut être admis. C’est ainsi une indemnité d’un montant de 1'120 fr. 50, correspondant à 5h40 de travail nécessaire d’avocat au tarif horaire de 180 fr., par 1'020 fr., aux débours forfaitaires à concurrence de 2% (art. 3bis al. 1 RAJ [règlement sur l’assistance judiciaire en matière civile du 7 décembre 2010 ; BLV 211.02.3], applicable par</w:t>
      </w:r>
    </w:p>
    <w:p>
      <w:r>
        <w:t>- 14 - renvoi de l’art. 26b TFIP [tarif des frais de procédure et indemnités en matière pénale du 28 septembre 2010 ; BLV 312.03.1]), par 20 fr. 40, et à la TVA par 7,7% sur le tout, par 80 fr. 10, qui sera allouée à Me Vincent Demierre. Vu l’issue de la cause, les frais de la procédure d’appel, soit l’émolument de jugement par 1'430 fr. (art. 21 al. 1 TFIP [tarif des frais de procédure et indemnités en matière pénale du 28 septembre 2010 ; BLV 312.03.1]) et l'indemnité du défenseur d'office de l'appelant, par 1'120 fr. 50, seront mis à la charge de J.________ qui succombe (art. 428 al. 1, 1re phrase, CPP). Le remboursement à l’Etat de l’indemnité de défenseur d’office mentionnée ci-dessus sera exigé de J.________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