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PE19.021976 vom 1. Juli 2020</w:t>
      </w:r>
    </w:p>
    <w:p>
      <w:r>
        <w:t>VD Tribunal cantonal, 2020-07-01, FR</w:t>
      </w:r>
    </w:p>
    <w:p>
      <w:r>
        <w:rPr>
          <w:b/>
        </w:rPr>
        <w:t xml:space="preserve">Quelle: </w:t>
      </w:r>
      <w:r>
        <w:t>https://mcp.opencaselaw.ch/entscheid/vd_gerichte_PE19.021976</w:t>
      </w:r>
    </w:p>
    <w:p>
      <w:r>
        <w:t>FR: VD_GERICHTE PE19.021976 du 1 juillet 2020</w:t>
      </w:r>
    </w:p>
    <w:p>
      <w:r>
        <w:t>IT: VD_GERICHTE PE19.021976 del 1 luglio 2020</w:t>
      </w:r>
    </w:p>
    <w:p>
      <w:pPr>
        <w:pStyle w:val="Heading2"/>
      </w:pPr>
      <w:r>
        <w:t>Erwägungen</w:t>
      </w:r>
    </w:p>
    <w:p>
      <w:r>
        <w:rPr>
          <w:b/>
        </w:rPr>
        <w:t>E. 1.1</w:t>
      </w:r>
    </w:p>
    <w:p>
      <w:r>
        <w:t>L'art. 410 al. 1 let. a CPP (Code de procédure pénale suisse du</w:t>
      </w:r>
    </w:p>
    <w:p>
      <w:r>
        <w:rPr>
          <w:b/>
        </w:rPr>
        <w:t>E. 1.2</w:t>
      </w:r>
    </w:p>
    <w:p>
      <w:r>
        <w:t>Ce moyen de droit extraordinaire permet de revoir un jugement entré en force et entaché d'une erreur de fait. Moyen de droit subsidiaire, la révision n'est pas ouverte contre les décisions pour lesquelles d'autres voies de recours sont ouvertes ; la révision ne doit en effet pas servir à pallier l'oubli d'un moyen de droit dit ordinaire (Moreillon/Parein-Reymond, Petit commentaire du Code de procédure pénale, 2e éd., Bâle 2016, n. 2 ad remarques préliminaires aux art. 410 à 415 CPP et la référence citée). Les conditions d'une révision visant une ordonnance pénale sont particulièrement restrictives. En effet, l'ordonnance pénale est rendue dans le cadre d'une procédure spéciale (art. 352 ss CPP), qui a pour spécificité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w:t>
      </w:r>
    </w:p>
    <w:p>
      <w:r>
        <w:t>- 5 - raisons de se prévaloir à cette époque (ATF 130 IV 72 précité consid. 2.3). Cette jurisprudence, rendue avant l'entrée en vigueur du nouveau droit de procédure le 1er janvier 2011, garde sa portée (TF 6B_509/2016 du 21 décembre 2016 consid. 2; TF 6B_1291/2015 du 14 mars 2016 consid. 4.1 et les arrêts cités; CAPE 4 novembre 2019/301 ; CAPE 27 septembre 2019/398).</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143 IV 122 consid. 3.5 ; TF 6B_324/2019 du 24 avril 2019 consid. 3.1 et les références citées), ou encore lorsque la demande de révision apparaît abusive (TF 6B_324/2019 précité). Le refus d'entrer en matière s'impose alors pour des motifs d'économie de procédure, car si la situation est évidente, il n'y a pas de raison que l'autorité requière des déterminations (art. 412 al. 3 CPP) pour ensuite rejeter la demande (art. 413 al. 1 CPP ; TF 6B_574/2019 précité et les références citées). L'examen préalable de la demande de révision relève de la procédure écrite (art. 412 al. 1 CPP). 2. 2.1 En l’espèce, le courrier de X.________ du 15 mai 2020 a été interprété comme une demande de révision, dès lors qu’invité à se déterminer sur ce point, il a lui-même repris ce terme dans son courrier du 20 juin 2020 en demandant « une révision correcte et adaptée au présent dossier ». Or, tant dans son courrier du 15 mai 2020 que dans celui du 20 juin 2020, le requérant se contente de contester les sanctions prononcées</w:t>
      </w:r>
    </w:p>
    <w:p>
      <w:r>
        <w:t>- 6 - à son encontre, en particulier le montant de l’amende, et de faire valoir qu’un « avertissement à la loi » serait une sanction « raisonnable aux yeux de la situation ». Il s’est pour le surplus contenté de produire une copie de divers courriers figurant déjà au dossier pénal. En définitive, le requérant ne fait donc valoir aucun fait ou moyen de preuve nouveau de nature à susciter un acquittement ou une condamnation plus légère, ni aucun motif de révision au sens de l’art. 410 CPP. 2.2 Par surabondance, il sera renoncé à transmettre le dossier de la cause à la Chambre des recours pénale, dès lors qu’il ne fait aucun doute que le sort de la cause ne serait pas différent si le courrier du 15 mai 2020 de X.________ devait être considéré comme un recours contre le prononcé du Tribunal de police de l'arrondissement de Lausanne du 19 février 2020. En effet, selon les dispositions légales applicables, un tel recours doit être adressé par écrit, dans un délai de dix jours dès la notification de la décision attaquée (art. 384 let. b CPP). En l’espèce, le « recours » a été interjeté près de trois mois après la décision litigieuse et serait donc à l’évidence jugé tardif, X.________ n’invoquant aucun motif pour expliquer ce retard. 3. Il résulte de ce qui précède que la demande de révision déposée par X.________ doit être déclarée irrecevable, sans échange d’écritures (art. 412 al. 2 CPP). Le présent prononcé est rendu sans frais.</w:t>
      </w:r>
    </w:p>
    <w:p>
      <w:r>
        <w:t>- 7 -</w:t>
      </w:r>
    </w:p>
    <w:p>
      <w:r>
        <w:rPr>
          <w:b/>
        </w:rPr>
        <w:t>E. 5</w:t>
      </w:r>
    </w:p>
    <w:p>
      <w:r>
        <w:t>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2e phrase, CPP). Cette disposition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6B_574/2019 du</w:t>
      </w:r>
    </w:p>
    <w:p>
      <w:r>
        <w:rPr>
          <w:b/>
        </w:rPr>
        <w:t>E. 9</w:t>
      </w:r>
    </w:p>
    <w:p>
      <w:r>
        <w:t>septembre 2019 consid. 1.1 et les références citées). Les faits ou moyens de preuve sont nouveaux lorsque le juge n'en a pas eu connaissance au moment où il s'est prononcé, c'est-à-dire lorsqu'ils ne lui ont pas été soumis sous quelque forme que ce soit (ATF 137 IV 59 consid.</w:t>
      </w:r>
    </w:p>
    <w:p>
      <w:r>
        <w:t>- 4 - 5.1.2 ; ATF 130 IV 72 consid. 1). Ils sont sérieux lorsqu'ils sont propres à ébranler les constatations de fait sur lesquelles se fonde la condamnation et que l'état de fait ainsi modifié rend possible un jugement sensiblement plus favorable au condamné (ATF 137 IV 59 précité consid. 5.1.4 ; ATF 130 IV 72 précité ; TF 6B_574/2019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