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PE19.021694 vom 10. Dezember 2019</w:t>
      </w:r>
    </w:p>
    <w:p>
      <w:r>
        <w:t>VD Tribunal cantonal, 2019-12-10, FR</w:t>
      </w:r>
    </w:p>
    <w:p>
      <w:r>
        <w:rPr>
          <w:b/>
        </w:rPr>
        <w:t xml:space="preserve">Quelle: </w:t>
      </w:r>
      <w:r>
        <w:t>https://mcp.opencaselaw.ch/entscheid/vd_gerichte_PE19.021694</w:t>
      </w:r>
    </w:p>
    <w:p>
      <w:r>
        <w:t>FR: VD_GERICHTE PE19.021694 du 10 décembre 2019</w:t>
      </w:r>
    </w:p>
    <w:p>
      <w:r>
        <w:t>IT: VD_GERICHTE PE19.021694 del 10 dicembre 2019</w:t>
      </w:r>
    </w:p>
    <w:p>
      <w:pPr>
        <w:pStyle w:val="Heading2"/>
      </w:pPr>
      <w:r>
        <w:t>Erwägungen</w:t>
      </w:r>
    </w:p>
    <w:p>
      <w:r>
        <w:rPr>
          <w:b/>
        </w:rPr>
        <w:t>E. 5</w:t>
      </w:r>
    </w:p>
    <w:p>
      <w:r>
        <w:t>En définitive, le recours, manifestement mal fondé, doit être rejeté, dans la mesure où il est recevable, sans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BLV 312.03.1]), seront mis à la charge des recourants, solidairement entre eux (art. 428 al. 1 CPP). Le montant de 550 fr. déjà versé par les recourants à titre de sûretés sera compensé avec ces frais (art. 383 al. 1 CPP ; art. 7 TFIP ; CREP 25 octobre 2017/730 ; CREP 15 septembre 2017/631).</w:t>
      </w:r>
    </w:p>
    <w:p>
      <w:r>
        <w:t>- 7 - Par ces motifs, la Chambre des recours pénale prononce : I. Le recours est rejeté dans la mesure où il est recevable. II. L’ordonnance du 8 novembre 2019 est confirmée. III. Les frais d’arrêt, par 660 fr. (six cent soixante francs), sont mis à la charge des recourants, solidairement entre eux. IV. L'avance de frais de 550 fr. (cinq cent cinquante francs) versée par les recourants à titre de sûretés est imputée sur le montant des frais mis à leur charge au chiffre III ci-dessus. V. L’arrêt est exécutoire. Le président : La greffière : Du Le présent arrêt, dont la rédaction a été approuvée à huis clos, est notifié, par l'envoi d'une copie complète, à : - Mme P.________, - M. A.J.________, - Mme W.________, - M. B.J.________, - Ministère public central, et communiqué à : - M. le Procureur de l’arrondissement du Nord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