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PE19.021545 vom 27. September 2023</w:t>
      </w:r>
    </w:p>
    <w:p>
      <w:r>
        <w:t>VD Tribunal cantonal, 2023-09-27, FR</w:t>
      </w:r>
    </w:p>
    <w:p>
      <w:r>
        <w:rPr>
          <w:b/>
        </w:rPr>
        <w:t xml:space="preserve">Quelle: </w:t>
      </w:r>
      <w:r>
        <w:t>https://mcp.opencaselaw.ch/entscheid/vd_gerichte_PE19.021545</w:t>
      </w:r>
    </w:p>
    <w:p>
      <w:r>
        <w:t>FR: VD_GERICHTE PE19.021545 du 27 septembre 2023</w:t>
      </w:r>
    </w:p>
    <w:p>
      <w:r>
        <w:t>IT: VD_GERICHTE PE19.021545 del 27 settembre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w:t>
      </w:r>
    </w:p>
    <w:p>
      <w:r>
        <w:t>- 7 -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w:t>
      </w:r>
    </w:p>
    <w:p>
      <w:r>
        <w:rPr>
          <w:b/>
        </w:rPr>
        <w:t>E. 2.1</w:t>
      </w:r>
    </w:p>
    <w:p>
      <w:r>
        <w:t>Dans son arrêt du 6 juin 2023, le Tribunal fédéral a considéré que la Chambre de céans n’était pas fondée à faire application de la fiction de notification prévue à l’art. 85 al. 4 let. a CPP pour ensuite déclarer le recours déposé par M.________ irrecevable faute de versement des sûretés en temps utile et a donc annulé l’arrêt et a renvoyé la cause.</w:t>
      </w:r>
    </w:p>
    <w:p>
      <w:r>
        <w:rPr>
          <w:b/>
        </w:rPr>
        <w:t>E. 2.2</w:t>
      </w:r>
    </w:p>
    <w:p>
      <w:r>
        <w:t>et les réf. citées).</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in dubio pro duriore. Ce principe, qui découle du principe de la légalité (art. 5 al. 1 Cst. et 2 al. 2 CPP en relation avec les</w:t>
      </w:r>
    </w:p>
    <w:p>
      <w:r>
        <w:t>- 8 - art. 319 al. 1 et 324 al. 1 CPP ; ATF 143 IV 241 consid. 2.2.1 et 2.3.3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précité consid. 2.2.1 ; ATF 138 IV 86 précité consid. 4.1.2 et les réf. citées ; TF 7B_153/2022 du 20 juillet 2023 consid. 3.3.2 et les réf. citées).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w:t>
      </w:r>
    </w:p>
    <w:p>
      <w:r>
        <w:rPr>
          <w:b/>
        </w:rPr>
        <w:t>E. 4.1</w:t>
      </w:r>
    </w:p>
    <w:p>
      <w:r>
        <w:t>La recourante conteste le terme « déchets » utilisé par l’huissier dans son constat du 19 février 2018 et prétend qu’il y avait également des meubles et objets présents dans le bien immobilier, en se référant aux courriers de son avocat.</w:t>
      </w:r>
    </w:p>
    <w:p>
      <w:r>
        <w:rPr>
          <w:b/>
        </w:rPr>
        <w:t>E. 4.2.1</w:t>
      </w:r>
    </w:p>
    <w:p>
      <w:r>
        <w:t>et les réf. citées).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w:t>
      </w:r>
    </w:p>
    <w:p>
      <w:r>
        <w:t>- 11 - extérieurement constatable (ATF 129 IV 223 consid. 6.2.1, JdT 2005 IV 3 ; ATF 118 IV 148 consid. 2a, JdT 1994 IV 105).</w:t>
      </w:r>
    </w:p>
    <w:p>
      <w:r>
        <w:rPr>
          <w:b/>
        </w:rPr>
        <w:t>E. 4.2.2.1</w:t>
      </w:r>
    </w:p>
    <w:p>
      <w:r>
        <w:t>Aux termes de l’art. 137 ch. 1 CP (Code pénal suisse du 21 décembre 1937 ;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(TF 6B_375/2020 du 9 juillet 2020 consid. 3.3 ; TF 6B_1043/2015 du 9 décembre 2015 consid.</w:t>
      </w:r>
    </w:p>
    <w:p>
      <w:r>
        <w:rPr>
          <w:b/>
        </w:rPr>
        <w:t>E. 4.2.2.2</w:t>
      </w:r>
    </w:p>
    <w:p>
      <w:r>
        <w:t>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 notion de vol ne se distingue de celle de l’appropriation illégitime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[Code civil suisse du 10 décembre 1907 ; RS 210]). Elle présuppose la disposition effective de la chose et la volonté de la posséder (ATF 132 IV 108 consid. 2.1 p. 110 ; TF 6B_375/2020 précité consid. 3.4 ; TF 6B_1056/2018 du 29 janvier 2019 consid. 2.3.2 ; TF 6B_243/2014 du 15 juillet 2014 consid. 2.3).</w:t>
      </w:r>
    </w:p>
    <w:p>
      <w:r>
        <w:rPr>
          <w:b/>
        </w:rPr>
        <w:t>E. 4.2.2.3</w:t>
      </w:r>
    </w:p>
    <w:p>
      <w:r>
        <w:t>Réprimant les dommages à la propriété, l’art. 144 al. 1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2010, nn. 11 ss ad art. 144 CP).</w:t>
      </w:r>
    </w:p>
    <w:p>
      <w:r>
        <w:t>- 12 -</w:t>
      </w:r>
    </w:p>
    <w:p>
      <w:r>
        <w:rPr>
          <w:b/>
        </w:rPr>
        <w:t>E. 4.3</w:t>
      </w:r>
    </w:p>
    <w:p>
      <w:r>
        <w:t>En l’espèce, la recourante conteste le constat de l’huissier de justice. Il est cependant relevé que ce dernier est un auxiliaire de justice, mandaté par le juge de l’expulsion. Même si ce constat ne revêt pas de la force d’un titre authentique (cf. art. 9 CC), il a une force probante certaine. Il incombait donc à la recourante de renverser celle-ci, ce qu’elle n’a pas fait. Il ne suffit pas d’affirmer que le constat est faux pour l’ébranler, de sorte que, faute de motivation à ce titre, le grief invoqué par la recourante est irrecevable. De toute manière, l’ordonnance contestée est basée sur l’absence d’élément subjectif, et la recourante ne développe rien à cet égard. En effet, elle n’essaie aucunement de démontrer par une argumentation topique en quoi le raisonnement opéré par le Ministère public serait erroné. Son recours est également irrecevable à cet égard. Par surabondance, à l’instar du procureur, la Chambre de céans avait de toute manière retenu que les infractions de vol et d’appropriation illégitime étaient exclues, dans la mesure où les objets qui se trouvaient dans la maison étaient tombés en possession d’X.________ indépendamment de sa volonté et qu’elle n’avait dès lors pas agi dans le dessein d’enrichissement illégitime. D’ailleurs, cet élément est également démontré par le temps qui s’est écoulé avant l’expulsion, le fait qu’X.________ ait autorisé la recourante à déménager les objets restants après l’expulsion et la lettre de l’avocat de la recourante constatant qu’il s’agissait de nettoyer les déchets. En définitive, seules les infractions d’appropriation illégitime, au sens de l’art. 137 ch. 2 CP, et de dommages à la propriété auraient pu entrer en ligne de compte, lesquelles étaient toutefois poursuivies sur plainte.</w:t>
      </w:r>
    </w:p>
    <w:p>
      <w:r>
        <w:rPr>
          <w:b/>
        </w:rPr>
        <w:t>E. 5.1</w:t>
      </w:r>
    </w:p>
    <w:p>
      <w:r>
        <w:t>Le recourante soutient ensuite qu’elle n’aurait eu connaissance du délit et de son auteur qu’au début du mois de septembre 2019 et que sa plainte ne serait ainsi pas tardive.</w:t>
      </w:r>
    </w:p>
    <w:p>
      <w:r>
        <w:rPr>
          <w:b/>
        </w:rPr>
        <w:t>E. 5.2</w:t>
      </w:r>
    </w:p>
    <w:p>
      <w:r>
        <w:t>Selon l’art. 30 al. 1 CP, si une infraction n’est punie que sur plainte, toute personne lésée peut porter plainte contre l’auteur. Le droit</w:t>
      </w:r>
    </w:p>
    <w:p>
      <w:r>
        <w:t>- 13 - de porter plainte se prescrit par trois mois. Le délai court du jour où l’ayant-droit a connu l’auteur de l’infraction (art. 31 CP). Le point de départ du délai est la connaissance de l’auteur et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(Dupuis/Moreillon/Piguet/Berger/Mazou/Rodigari [éd.],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Pour être valable, la plainte doit exposer de manière détaillée le déroulement des faits sur lesquels elle porte, pour que l’autorité pénale sache pour quel état de fait l’ayant-droit demande une poursuite pénale. Elle doit contenir un exposé détaillé des circonstances concrètes, sans qu’il ne soit nécessaire qu’elles soient absolument complètes (ATF 131 IV 97 consid. 3.3). En revanche, la qualification juridique des faits incombe aux autorités de poursuite (TF 6B_942/2017 du 5 mars 2018 consid. 1.1). La plainte pénale est une déclaration de volonté inconditionnelle par laquelle le lésé demande l’introduction d’une poursuite pénale (ATF 141 IV 380 consid. 2.3.4 ; ATF 128 IV 81 consid. 2a). Selon la jurisprudence du Tribunal fédéral et la doctrine majoritaire, il s’agit d’une condition à l’ouverture de l’action pénale pour les infractions qui ne se poursuivent que sur plainte (Riedo, in : Niggli/Wiprächtiger [éd.], Basler Kommentar, Strafrecht I, 4e éd., Bâle 2019, nn. 21 ad art. 30 CP et 108 ad art. 30 CP et les réf. citées). Il s’ensuit que si, lorsqu’aucune</w:t>
      </w:r>
    </w:p>
    <w:p>
      <w:r>
        <w:t>- 14 - infraction poursuivie d’office n’est en cause, une plainte valable fait défaut, le Ministère public doit rendre soit une ordonnance de non-entrée en matière au sens de l’art. 310 al. 1 let. a CPP, au motif qu’une condition à l’ouverture de l’action pénale n’est pas réunie, soit si une instruction a été ouverte, il doit rendre une ordonnance de classement au sens de l’art. 319 al. 1 let. d CPP, au motif qu’il est établi que certaines conditions à l’ouverture de l’action pénale ne peuvent pas être remplies (Riedo, op. cit., nn. 108 et 114 ad art. 30 CP et les réf. citées ; Dupuis et alii [éd.], op. cit., n. 2 ad art. 30 CP et les réf. citées).</w:t>
      </w:r>
    </w:p>
    <w:p>
      <w:r>
        <w:rPr>
          <w:b/>
        </w:rPr>
        <w:t>E. 5.3</w:t>
      </w:r>
    </w:p>
    <w:p>
      <w:r>
        <w:t>Le procureur a considéré que c’était au plus tard le 8 mars 2019, soit la date à laquelle la recourante avait adressé un courrier recommandé à X.________ au sujet de ses doléances, qu’M.________ avait eu connaissance de l’infraction et de son auteur. Il a ainsi considéré que la plainte déposée le 30 octobre 2019 était tardive. En l’occurrence, M.________, soutenant toutefois avoir constaté qu’X.________ gardait en sa possession les objets dans sa villa seulement à la fin du mois d’août, début du mois de septembre 2019, se borne à exposer sa propre version des faits et ne démontre aucunement en quoi le raisonnement du Ministère public serait erroné à cet égard, de sorte que ce grief est irrecevable. Il est par ailleurs relevé que cette affirmation est quoi qu’il en soit en contradiction évidente avec les lettres demandant la restitution des objets lui appartenant. Même si l’on considérait que ce n’était qu’au moment de l’absence de réponse à sa sommation que la recourante pouvait considérer qu’elle ne récupérerait pas ses affaires, le point de départ du délai serait au plus tard aux environs de la fin du mois d’avril 2018 et la péremption serait également acquise. On notera d’ailleurs qu’il ne suffisait pas à la recourante d’écrire à X.________ pour l’informer de son souhait de venir récupérer ses affaires pour retarder indéfiniment le point de départ dudit délai. Par surabondance, on relèvera que les infractions d’appropriation illégitime et de dommages à la propriété ne sont à l’évidence pas réalisées. En effet, la recourante aurait eu tout loisir de débarrasser la villa des objets lui appartenant. En outre, le constat</w:t>
      </w:r>
    </w:p>
    <w:p>
      <w:r>
        <w:t>- 15 - d’huissier – qui a une certaine valeur probante que la recourante n’essaie pas de contrer – certifie que la villa était « vide de toutes affaires ou mobilier, hormis les déchets ». Par la suite, l’avocat de la recourante lui- même a parlé de nettoyer les déchets de l’appartement, étant également relevé que la recourante n’a pas démontré qu’il y avait encore des objets d’une certaine valeur dans le bien en question. Malgré cela, X.________ a accepté que la recourante vienne encore procéder à l’enlèvement de ses affaires et a finalement dû payer les frais de déménagement. Ces éléments démontrent donc qu’X.________ n’a pas cherché à s’approprier des objets ou les endommager, mais au contraire, qu’elle souhaitait s’en débarrasser et a dû attendre trois ans pour y parvenir.</w:t>
      </w:r>
    </w:p>
    <w:p>
      <w:r>
        <w:rPr>
          <w:b/>
        </w:rPr>
        <w:t>E. 6</w:t>
      </w:r>
    </w:p>
    <w:p>
      <w:r>
        <w:t>Enfin, la recourante trouve « scandaleux » que sa plainte soit qualifiée de téméraire (art. 420 CPP), sans même démontrer par une argumentation topique en quoi le raisonnement opéré par le Ministère public serait erroné, de sorte que ce grief est également irrecevable.</w:t>
      </w:r>
    </w:p>
    <w:p>
      <w:r>
        <w:rPr>
          <w:b/>
        </w:rPr>
        <w:t>E. 7</w:t>
      </w:r>
    </w:p>
    <w:p>
      <w:r>
        <w:t>En définitive, le recours est manifestement irrecevable. De toute manière, il aurait dû être rejeté. Les frais de la procédure de recours, constitués en l’espèce de l’émolument d’arrêt, par 1’540 fr. (art. 20 al. 1 TFIP [Tarif des frais de procédure et indemnités en matière pénale du 28 septembre 2010 ; BLV 312.03.1]), seront mis à la charge de la recourante, qui succombe (428 al. 1 CPP). Ces frais seront partiellement compensés avec le montant des sûretés de 550 fr. déjà versés par elle, le solde à sa charge s’élevant à 990 francs. Par ces motifs, la Chambre des recours pénale prononce : I. Le recours est irrecevable. II. Les frais d’arrêt, par 1’540 fr. (mille cinq cent quarante francs), sont mis à la charge d’M.________.</w:t>
      </w:r>
    </w:p>
    <w:p>
      <w:r>
        <w:t>- 16 - III. L’avance de frais de 550 fr. (cinq cent cinquante francs) versée par M.________ est imputée sur les frais mis à sa charge au chiffre III ci-dessus, le solde dû s’élevant à 990 fr. (neuf cent nonante francs). IV. L’arrêt est exécutoire. La présidente : La greffière : Du Le présent arrêt, dont la rédaction a été approuvée à huis clos, est notifié, par l’envoi d’une copie complète, à : - M.________, - Me Alain Brogli, avocat (pour X.________), - Ministère public central, et communiqué à : - M. le Procureur du Ministère public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