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PE19.021457 vom 16. Februar 2023</w:t>
      </w:r>
    </w:p>
    <w:p>
      <w:r>
        <w:t>VD Tribunal cantonal, 2023-02-16, FR</w:t>
      </w:r>
    </w:p>
    <w:p>
      <w:r>
        <w:rPr>
          <w:b/>
        </w:rPr>
        <w:t xml:space="preserve">Quelle: </w:t>
      </w:r>
      <w:r>
        <w:t>https://mcp.opencaselaw.ch/entscheid/vd_gerichte_PE19.021457</w:t>
      </w:r>
    </w:p>
    <w:p>
      <w:r>
        <w:t>FR: VD_GERICHTE PE19.021457 du 16 février 2023</w:t>
      </w:r>
    </w:p>
    <w:p>
      <w:r>
        <w:t>IT: VD_GERICHTE PE19.021457 del 16 febbraio 2023</w:t>
      </w:r>
    </w:p>
    <w:p>
      <w:pPr>
        <w:pStyle w:val="Heading2"/>
      </w:pPr>
      <w:r>
        <w:t>Erwägungen</w:t>
      </w:r>
    </w:p>
    <w:p>
      <w:r>
        <w:rPr>
          <w:b/>
        </w:rPr>
        <w:t>E. 6.1</w:t>
      </w:r>
    </w:p>
    <w:p>
      <w:r>
        <w:t>L’appelant, qui conclut à libération, ne conteste pas la peine en tant que telle. Celle-ci doit toutefois être examinée d’office.</w:t>
      </w:r>
    </w:p>
    <w:p>
      <w:r>
        <w:rPr>
          <w:b/>
        </w:rPr>
        <w:t>E. 6.1.1</w:t>
      </w:r>
    </w:p>
    <w:p>
      <w:r>
        <w:t>et les réf. cit. ; TF 6B_631/2021 du 7 février 2022 consid. 1.1).</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1169 ; ATF 141 IV 61 consid.</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- 32 - de la moitié le maximum de la peine prévue pour cette infraction. Il est en outre lié par le maximum légal de chaque genre de peine (ATF 144 IV 313 consid. 1.2; TF 6B_79/2020 du 14 février 2020 consid. 2.1.2; TF 6B_776/2019 du 20 novembre 2019 consid. 4.1;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6.3</w:t>
      </w:r>
    </w:p>
    <w:p>
      <w:r>
        <w:t>Q.________ s’est rendu coupable de faux dans les titres (art. 251 ch. 1 CP) et d’escroquerie (art. 146al. 1 CP), infractions passibles d’une peine privative de liberté de cinq ans au plus ou d’une peine pécuniaire et d’escroquerie.</w:t>
      </w:r>
    </w:p>
    <w:p>
      <w:r>
        <w:t>- 33 - La culpabilité du prévenu est importante. Il a établi deux faux contrats sur lesquels il a apposé de fausses signatures et a simulé l’envoi d’un courriel par un tiers en trafiquant des documents dans le but de tromper une autorité arbitrale et d’obtenir des commissions indues. Aujourd’hui encore et malgré les évidences, il persiste à nier les faits reprochés. Il est parvenu à ses fins puisque le TAS a condamné le plaignant à lui verser la somme de 84'900 euros avec intérêts et de longues investigations ont été nécessaires pour démanteler son stratagème. A charge, il y a également lieu de retenir le concours d’infractions. La Cour de céans ne discerne aucun élément à décharge. Le prévenu n’ayant aucunement pris conscience de la gravité de ses actes, une peine privative de liberté s’impose pour sanctionner les infractions retenues pour des motifs de prévention spéciale. L’infraction d’escroquerie justifie le prononcé d’une peine privative de liberté de 5 mois. Les effets du concours conduisent à l’augmentation de cette peine de base de 3 mois pour l’infraction de faux dans les titres. La peine privative de liberté d’ensemble de 8 mois sanctionne donc adéquatement le comportement délictueux de Q.________. Le prévenu répond aux conditions du sursis dès lors qu’il s’agit d’un primo-délinquant. Dans ces circonstances, le pronostic n’apparaît pas défavorable compte tenu de l’effet de choc que la présente condamnation doit entraîner, de sorte que le sursis doit être accordé au prévenu et le délai d’épreuve fixé au minimum légal de 2 ans (art. 44 al. 1 CP). A cette peine privative de liberté s’ajoute une amende de 3'000 fr., convertible en une peine privative de liberté de substitution de 30 jours, à titre de sanction immédiate (art. 42 al. 4 CP), afin de favoriser la prise de conscience du prévenu dont la peine est assortie du sursis et d’attirer son attention sur la gravité des faits reprochés. Compte tenu de la situation personnelle et financière du prévenu, la quotité de l’amende ne prête pas le flanc à la critique et peut être confirmée. Il en va de même de</w:t>
      </w:r>
    </w:p>
    <w:p>
      <w:r>
        <w:t>- 34 - la peine privative de liberté de substitution en cas de non-paiement fautif fixée à 30 jours.</w:t>
      </w:r>
    </w:p>
    <w:p>
      <w:r>
        <w:rPr>
          <w:b/>
        </w:rPr>
        <w:t>E. 7</w:t>
      </w:r>
    </w:p>
    <w:p>
      <w:r>
        <w:t>La condamnation de Q.________ étant confirmée en appel, il n’y a pas lieu d’entrer en matière sur ses conclusions tendant au rejet des conclusions civiles et en indemnité d’N.________ et à l’octroi d’une indemnité au sens de l’art. 429 CPP.</w:t>
      </w:r>
    </w:p>
    <w:p>
      <w:r>
        <w:rPr>
          <w:b/>
        </w:rPr>
        <w:t>E. 8</w:t>
      </w:r>
    </w:p>
    <w:p>
      <w:r>
        <w:t>En définitive, l’appel de Q.________ doit être rejeté et le jugement entrepris confirmé. Aux débats d’appel, N.________, par son conseil de choix, a conclu au rejet de l’appel et à l’allocation d’une juste indemnité pour ses frais d’avocat d’un montant de 6'703 fr. 80. Il a produit une liste d’opérations faisant état de 17h40 au tarif horaire de 350 fr., de 40 fr. de débours et d’un montant de 479 fr. 30 pour la TVA, dont il n’y a pas lieu de s’écarter. L’indemnité pour les dépenses obligatoires occasionnées par la procédure d’appel allouée à N.________ doit ainsi être fixée à 6'703 fr. 80, TVA et débours compris, à la charge de Q.________. Vu l’issue de la cause, les frais de la procédure d’appel (art. 21 al. 1 et 2 TFIP [Tarif des frais de procédure et indemnités en matière pénale du 28 septembre 2010 ; BLV 312.03.1]), constitués en l’espèce du seul émolument de jugement, par 3'230 fr., seront mis à la charge de Q.________,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