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PE19.021438 vom 16. Februar 2022</w:t>
      </w:r>
    </w:p>
    <w:p>
      <w:r>
        <w:t>VD Tribunal cantonal, 2022-02-16, FR</w:t>
      </w:r>
    </w:p>
    <w:p>
      <w:r>
        <w:rPr>
          <w:b/>
        </w:rPr>
        <w:t xml:space="preserve">Quelle: </w:t>
      </w:r>
      <w:r>
        <w:t>https://mcp.opencaselaw.ch/entscheid/vd_gerichte_PE19.021438</w:t>
      </w:r>
    </w:p>
    <w:p>
      <w:r>
        <w:t>FR: VD_GERICHTE PE19.021438 du 16 février 2022</w:t>
      </w:r>
    </w:p>
    <w:p>
      <w:r>
        <w:t>IT: VD_GERICHTE PE19.021438 del 16 febbraio 2022</w:t>
      </w:r>
    </w:p>
    <w:p>
      <w:pPr>
        <w:pStyle w:val="Heading2"/>
      </w:pPr>
      <w:r>
        <w:t>Erwägungen</w:t>
      </w:r>
    </w:p>
    <w:p>
      <w:r>
        <w:rPr>
          <w:b/>
        </w:rPr>
        <w:t>E. 19</w:t>
      </w:r>
    </w:p>
    <w:p>
      <w:r>
        <w:t>janvier 2021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2.3 Aux termes de l’art. 217 CP, celui qui n'aura pas fourni les aliments ou les subsides qu'il doit en vertu du droit de la famille, quoiqu'il en eût les moyens ou pût les avoir, sera, sur plainte, puni d'une peine privative de liberté de trois ans au plus ou d'une peine pécuniaire. Pour fixer l’étendue de la contribution d’entretien, il faut se référer à un jugement civil exécutoire. Le juge pénal est d’ailleurs lié par un tel jugement (Dupuis et al. [éd.], Petit commentaire, Code pénal, 2e éd., Bâle 2017, n. 10 ad art. 217 CP et les réf. citées). Lorsqu’une procédure de modification de jugement de divorce est pendante, le juge pénal ne doit pas attendre la décision (Dupuis et al., op. cit., n. 11 ad art. 217 CP et les réf. citées). L’obligation d’entretien est violée non seulement lorsque le débiteur n’a pas fourni la prestation (ATF 73 IV 176 précité, spéc. 179, JdT 1947 IV 180 ; ATF 71 IV 194, spéc., 195, JdT 1946 IV 10), mais également lorsqu’il l’a fournie qu’en partie (ATF 114 IV 124 consid. 3b, JdT 1989 IV 103). L’obligation d’entretien est également violée si le débiteur fournit sa prestation avec retard (Corboz, Les infractions en droit suisse, vol. I, 3e éd., Berne 2010, n. 16 ad art. 217 CP, citant la partie non publiée de</w:t>
      </w:r>
    </w:p>
    <w:p>
      <w:r>
        <w:t>- 13 - l’ATF 108 IV 170 consid. 2c et 2d, JdT 1983 IV 104, qui précise que la violation doit être intentionnelle et qu’un retard occasionnel et minime permet de renoncer à poursuivre l’infraction en vertu de l’art. 52 CP). Le paiement de l’arriéré après le dépôt de la plainte pénale ne met pas fin à l’action (ATF 73 IV 176 précité, spéc. 179, JdT 1947 IV 180 ; Dupuis et al., op. cit., n. 14 ad art. 217 CP). D’un point de vue objectif, l’obligation d’entretien est violée lorsque le débiteur ne fournit pas intégralement, à temps et à disposition de la personne habilitée à la recevoir, la prestation d’entretien qu’il doit en vertu du droit de la famille (Corboz, op. cit., n. 14 ad art. 217 CP). En revanche, on ne peut reprocher à l’auteur d’avoir violé son obligation d’entretien que s’il avait les moyens de la remplir ou s’il aurait pu les avoir (Corboz, op. cit., n. 20 ad art. 217 CP). On entend à cet égard qu’est également punissable celui qui d’une part, ne dispose certes par de moyens suffisants pour s’acquitter de son obligation, mais qui, d’autre part, ne saisit pas les occasions de gain qui lui sont offertes et qu’il pourrait accepter (ATF 126 IV 131 consid. 3a). L’infraction est intentionnelle, le dol éventuel étant suffisant. L’auteur doit connaître l’étendue de son obligation, savoir qu’il lui est possible de la respecter en tout ou en partie et avoir la volonté de la violer au moins partiellement (Dupuis et al., op. cit., n. 22 ad art. 217 CP et les réf. citées). Dès le moment où l’auteur a des raisons suffisantes d’admettre que le jugement civil lui était opposable, l’élément subjectif de l’infraction est réalisé (ATF 70 IV 166, spéc. 168, JdT 1945 IV 18 ; RVJ 1989, p. 360, BJP 1992 no 354 ; Dupuis et al., op. cit., n. 23 ad art. 217 CP et les réf. citées). 2.4 En l’espèce, en vertu du jugement de divorce du Tribunal civil de la Gruyère (FR), l’intimé était tenu de verser en mains de S.________ une pension mensuelle de 850 fr. pour chacun de leurs enfants, allocations familiales en sus, et ce jusqu’à leur majorité et au-delà en application de</w:t>
      </w:r>
    </w:p>
    <w:p>
      <w:r>
        <w:t>- 14 - l’art. 277 al. 2 CC (P. 5/2). En outre, il n’est pas contesté que l’intimé avait les moyens de s’acquitter de sa pension. S’agissant de la plainte de D.B.________ et des pensions qui lui étaient dues jusqu’au 31 juillet 2019, le procureur a considéré la plainte comme tardive. D.B.________ n’a pas recouru contre cette ordonnance de sorte que ce point n’est pas contesté. En revanche, s’agissant des pensions dues en faveur de C.B.________ et d’E.B.________, il ressort du jugement de mainlevée du Tribunal du district de Monthey (P. 34/4) (cf. supra let. l) que les pensions n’ont pas été payées à temps. L’intimé avait, d’une part, connaissance de son obligation d’entretien dès lors qu’il avait connaissance de l’existence du jugement civil et avait des raisons suffisantes d’admettre que celui-ci lui était opposable. D’autre part, l’intimé ne s’est acquitté de ses pensions qu’une fois sous le coup de poursuites, auxquelles il a fait opposition. Ainsi, il ne peut être exclu que l’intimé ait eu la volonté, au moins par dol éventuel, de violer son obligation d’entretien, et il apparaît plutôt qu’il l’ait fait volontiers, et en toute connaissance de cause, en tout cas pour une partie des pensions en cause. Conformément à la doctrine précitée, et contrairement à ce que soutient l’intimé, la Cour de céans n’est pas tenue d’attendre la décision relative à la procédure de modification de jugement de divorce pour statuer. En outre, selon la jurisprudence précitée, et à l’opposé de ce que soutient l’intimé, il importe peu que celui-ci se soit depuis lors acquitté des sommes qu’il devait en vertu du jugement exécutoire et qui vaut titre de mainlevée définitive, pour que l’infraction de violation d’une obligation d’entretien soit réalisée. Partant, les éléments constitutifs de l’infraction de l’art. 217 CP paraissent réalisés de sorte que l’intimé doit être mis en accusation. C’est donc à tort que le Ministère public a considéré que les faits en cause n’étaient pas punissables et a astreint les recourantes tant</w:t>
      </w:r>
    </w:p>
    <w:p>
      <w:r>
        <w:t>- 15 - au paiement d’une indemnité en faveur de A.B.________ qu’aux frais de procédure. 3. En définitive, le recours doit être admis. L’ordonnance du</w:t>
      </w:r>
    </w:p>
    <w:p>
      <w:r>
        <w:rPr>
          <w:b/>
        </w:rPr>
        <w:t>E. 24</w:t>
      </w:r>
    </w:p>
    <w:p>
      <w:r>
        <w:t>novembre 2021 doit être annulée en tant qu’elle vaut classement s’agissant des plaintes déposées par S.________ et E.B.________ pour violation d’une obligation d’entretien (art. 217 CP) et décision sur l’indemnité et les frais de procédure mis à la charge des recourantes. Le dossier de la cause sera renvoyé au Ministère public de l’arrondissement de La Côte pour qu’il procède dans le sens des considérants. L’ordonnance sera maintenue pour le surplus. Les frais de la procédure de recours, constitués en l’espèce du seul émolument d’arrêt, par 1'650 fr. (art. 20 al. 1 TFIP [Tarif des frais de procédure et indemnités en matière pénale du 28 septembre 2010, BLV 312.03.1]), seront mis à la charge de l’intimé qui a conclu au rejet du recours et qui succombe (art. 428 al. 1 CPP). Les recourantes, qui ont procédé avec l'assistance d'un conseil de choix et qui ont obtenu gain de cause, ont droit à une indemnité pour les dépenses obligatoires occasionnées par la procédure de recours (art. 436 al. 3 CPP). Le tarif horaire sera fixé à 300 fr. pour tenir compte de la nature de la cause (art. 26a al. 4 TFIP). Au vu du mémoire de recours, cette indemnité sera arrêtée sur la base de deux heures d’activité nécessaire d’avocat au tarif horaire de 300 francs. A ces honoraires, il convient d’ajouter des débours forfaitaires à concurrence de 2 % (art. 19 al. 2 TDC [Tarif des dépens en matière civile du 23 novembre 2010 ; BLV 270.11.6], applicable par renvoi de l’art. 26a al. 6 TFIP), par 12 fr., plus un montant correspondant à la TVA, par 47 fr. 15, soit un montant total arrondi au franc supérieur de 660 fr., à la charge de l’intimé (art. 433 CPP).</w:t>
      </w:r>
    </w:p>
    <w:p>
      <w:r>
        <w:t>- 16 - Par ces motifs, la Chambre des recours pénale prononce : I. Le recours est admis. II. L'ordonnance du 24 novembre 2021 est annulée en tant qu’elle vaut classement s’agissant des plaintes déposées par S.________ et E.B.________ pour violation d’une obligation d’entretien (chiffre I du dispositif) et décision sur l’indemnité et les frais de procédure mis à la charge de S.________ et d’E.B.________ (chiffres II et III du dispositif). L’ordonnance est maintenue pour le surplus. III. Le dossier de la cause est renvoyé au Ministère public de l’arrondissement de La Côte pour qu'il procède dans le sens des considérants. IV. Les frais d’arrêt, par 1’650 fr. (mille six cent cinquante francs), sont mis à la charge de A.B.________. V. Une indemnité de 660 fr. (six cent soixante francs) est allouée à S.________, agissant au nom de sa fille C.B.________, et à E.B.________, pour la procédure de recours, solidairement entre elles, à la charge de A.B.________. VI. L’arrêt est exécutoire. Le président : La greffière : Du Le présent arrêt, dont la rédaction a été approuvée à huis clos, est notifié, par l'envoi d'une copie complète, à : - Me Véronique Fontana, avocate (pour S.________, C.B.________ et E.B.________), - Me Claude Kalbfuss, avocat (pour A.B.________),</w:t>
      </w:r>
    </w:p>
    <w:p>
      <w:r>
        <w:t>- 17 - - Ministère public central, et communiqué à : - M. le Procureur de l’arrondissement de La Côte, - D.B.________,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