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PE19.021368 vom 9. Oktober 2020</w:t>
      </w:r>
    </w:p>
    <w:p>
      <w:r>
        <w:t>VD Tribunal cantonal, 2020-10-09, FR</w:t>
      </w:r>
    </w:p>
    <w:p>
      <w:r>
        <w:rPr>
          <w:b/>
        </w:rPr>
        <w:t xml:space="preserve">Quelle: </w:t>
      </w:r>
      <w:r>
        <w:t>https://mcp.opencaselaw.ch/entscheid/vd_gerichte_PE19.021368</w:t>
      </w:r>
    </w:p>
    <w:p>
      <w:r>
        <w:t>FR: VD_GERICHTE PE19.021368 du 9 octobre 2020</w:t>
      </w:r>
    </w:p>
    <w:p>
      <w:r>
        <w:t>IT: VD_GERICHTE PE19.021368 del 9 ottobre 2020</w:t>
      </w:r>
    </w:p>
    <w:p>
      <w:pPr>
        <w:pStyle w:val="Heading2"/>
      </w:pPr>
      <w:r>
        <w:t>Erwägungen</w:t>
      </w:r>
    </w:p>
    <w:p>
      <w:r>
        <w:rPr>
          <w:b/>
        </w:rPr>
        <w:t>E. 5</w:t>
      </w:r>
    </w:p>
    <w:p>
      <w:r>
        <w:t>- 13 -</w:t>
      </w:r>
    </w:p>
    <w:p>
      <w:r>
        <w:rPr>
          <w:b/>
        </w:rPr>
        <w:t>E. 5.1</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 et alii [éd.], Petit commentaire Code pénal, 2e éd., 2017, n. 10 ad art. 123 CP).</w:t>
      </w:r>
    </w:p>
    <w:p>
      <w:r>
        <w:rPr>
          <w:b/>
        </w:rPr>
        <w:t>E. 5.2</w:t>
      </w:r>
    </w:p>
    <w:p>
      <w:r>
        <w:t>Sur la base des images de la vidéo de surveillance et des constats médicaux au dossier, Q.________ est coupable de lésions corporelles simples, commises intentionnellement. L'appelant ne conteste pas s'être rendu coupable d'infraction à la loi fédérale sur les étrangers et l'intégration, pour séjour et travail illégaux, au sens de l'art. 155 al. 1 let. b et c LEI. Partant, les qualifications juridiques du premier juge doivent être confirmées.</w:t>
      </w:r>
    </w:p>
    <w:p>
      <w:r>
        <w:t>- 14 -</w:t>
      </w:r>
    </w:p>
    <w:p>
      <w:r>
        <w:rPr>
          <w:b/>
        </w:rPr>
        <w:t>E. 6.1</w:t>
      </w:r>
    </w:p>
    <w:p>
      <w:r>
        <w:t>L'appelant conclut à sa condamnation à une peine privative de liberté de 30 jours, sous déduction d'un jour de détention provisoire, pour infraction à la loi fédérale sur les étrangers et l'intégration.</w:t>
      </w:r>
    </w:p>
    <w:p>
      <w:r>
        <w:rPr>
          <w:b/>
        </w:rPr>
        <w:t>E. 6.1.1</w:t>
      </w:r>
    </w:p>
    <w:p>
      <w:r>
        <w:t>et les arrêts cités).</w:t>
      </w:r>
    </w:p>
    <w:p>
      <w:r>
        <w:rPr>
          <w:b/>
        </w:rPr>
        <w:t>E. 6.2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w:t>
      </w:r>
    </w:p>
    <w:p>
      <w:r>
        <w:rPr>
          <w:b/>
        </w:rPr>
        <w:t>E. 6.3</w:t>
      </w:r>
    </w:p>
    <w:p>
      <w:r>
        <w:t>Comme exposé plus haut, l'appelant s'est bien rendu coupable de lésions corporelles simples, qui est l'infraction de base qui doit être sanctionnée de 4 mois de peine privative de liberté. S'agissant de l'infraction à la LEI, il sied de remarquer que le prévenu est un multirécidiviste de ce type d’infractions, si bien que la peine privative de liberté de 150 jours, sous déduction d'un jour de détention provisoire et partiellement complémentaire à celle prononcée le 11 mars 2019 par la Staatsanwaltschaft Rheinfelden – Laufenburg, est adéquate. La peine est donc conforme à l’art. 47 CP et à la jurisprudence y relative (cf. ATF 141 IV 61 consid. 6.1.1). Il y a donc lieu de la confirmer et de renvoyer aux considérants du jugement de première instance, qui sont pertinents (art. 82 al. 4 CPP).</w:t>
      </w:r>
    </w:p>
    <w:p>
      <w:r>
        <w:rPr>
          <w:b/>
        </w:rPr>
        <w:t>E. 7</w:t>
      </w:r>
    </w:p>
    <w:p>
      <w:r>
        <w:t>- 15 -</w:t>
      </w:r>
    </w:p>
    <w:p>
      <w:r>
        <w:rPr>
          <w:b/>
        </w:rPr>
        <w:t>E. 7.1</w:t>
      </w:r>
    </w:p>
    <w:p>
      <w:r>
        <w:t>L'appelant conclut au rejet des conclusions civiles prises par la partie plaignante, sans toutefois contester le principe de l'allocation d’une indemnité pour tort moral, ni sa quotité.</w:t>
      </w:r>
    </w:p>
    <w:p>
      <w:r>
        <w:rPr>
          <w:b/>
        </w:rPr>
        <w:t>E. 7.2</w:t>
      </w:r>
    </w:p>
    <w:p>
      <w:r>
        <w:t>Selon l'art. 49 CO (Code des obligations, loi fédérale complétant le Code civil suisse du 30 mars 1911;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En l'occurrence, O.________ a subi plusieurs lésions corporelles (P. 12/2 et 12/3) et a perdu connaissance suite à l'agression gratuite et</w:t>
      </w:r>
    </w:p>
    <w:p>
      <w:r>
        <w:t>- 16 - violente de l'appelant. Il a été en incapacité de travail pendant 15 jours (P. 27). Ainsi, dans la mesure où la condamnation de l'appelant est confirmée, il se justifie d'allouer au plaignant une indemnité pour le tort moral subi. Le montant de 1'000 fr. alloué à O.________ par le tribunal de première instance ne prête pas le flanc à la crique, tant dans son principe que dans sa quotité. Il doit être confirmé.</w:t>
      </w:r>
    </w:p>
    <w:p>
      <w:r>
        <w:rPr>
          <w:b/>
        </w:rPr>
        <w:t>E. 8</w:t>
      </w:r>
    </w:p>
    <w:p>
      <w:r>
        <w:t>Compte tenu de la condamnation de l'appelant, la mise à sa charge des frais de première instance doit également être confirmée.</w:t>
      </w:r>
    </w:p>
    <w:p>
      <w:r>
        <w:rPr>
          <w:b/>
        </w:rPr>
        <w:t>E. 9</w:t>
      </w:r>
    </w:p>
    <w:p>
      <w:r>
        <w:t>En définitive, l'appel de Q.________ doit être rejeté et le jugement attaqué confirmé. Me Pierre-Yves Court, défenseur d’office de Q.________, a produit une liste des opérations qui parait raisonnable et dont il n'y pas lieu de s'écarter. C'est ainsi une indemnité de 1'222 fr. 25, TVA et débours compris, qui doit lui être allouée pour la procédure d'appel. Vu l’issue de la cause, les frais de la procédure d’appel, par 2'832 fr. 25, constitués en l’espèce de l’émolument de jugement, par 1'610 fr. (art. 422 al. 1 CPP ; 21 al. 1 et 2 TFIP [tarif des frais de procédure et indemnités en matière pénale du 28 septembre 2010, BLV 312.03.1]), et de l’indemnité allouée au conseil d’office de Q.________, par 1'222 fr. 25, seront mis à la charge de l'appelant, qui succombe (art. 428 al. 1, 1re phrase, CPP). Q.________ ne sera tenus de rembourser le montant de l'indemnité en faveur de son défenseur d'office que lorsque sa situation financière le permettra.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