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PE19.021269 vom 19. März 2021</w:t>
      </w:r>
    </w:p>
    <w:p>
      <w:r>
        <w:t>VD Tribunal cantonal, 2021-03-19, FR</w:t>
      </w:r>
    </w:p>
    <w:p>
      <w:r>
        <w:rPr>
          <w:b/>
        </w:rPr>
        <w:t xml:space="preserve">Quelle: </w:t>
      </w:r>
      <w:r>
        <w:t>https://mcp.opencaselaw.ch/entscheid/vd_gerichte_PE19.021269</w:t>
      </w:r>
    </w:p>
    <w:p>
      <w:r>
        <w:t>FR: VD_GERICHTE PE19.021269 du 19 mars 2021</w:t>
      </w:r>
    </w:p>
    <w:p>
      <w:r>
        <w:t>IT: VD_GERICHTE PE19.021269 del 19 marzo 2021</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 ; TF 6B_481/2020 du 17 juillet 2020 consid. 1.2 ; TF 6B_952/2019 du 11 décembre 2019 consid. 2.1 ; TF 6B_727/2019 du 27 septembre 2019 consid. 1.3.1).</w:t>
      </w:r>
    </w:p>
    <w:p>
      <w:r>
        <w:rPr>
          <w:b/>
        </w:rPr>
        <w:t>E. 2.1</w:t>
      </w:r>
    </w:p>
    <w:p>
      <w:r>
        <w:t>Infraction contre la vie et l’intégrité corporelle (cas 1) Le 27 septembre 2019, vers 23h00, dans le parc [...], à Lausanne, S.________ et V.________ ont convenu d’entretenir une relation sexuelle. Alors qu’il prodiguait une fellation à V.________, S.________ s’est brusquement interrompu. Frustré de ne pas être parvenu à la jouissance, V.________ s’est alors mis en colère. Alors que S.________ tentait de s’éloigner en direction d’[...], sur le trottoir nord, V.________ l’a suivi. Dans le but de se défendre, S.________ – déféré séparément et acquitté par jugement du 3 juillet 2020 du Tribunal de Police de l’arrondissement de Lausanne – a alors sorti un couteau suisse en effectuant des mouvements circulaires en vue d’intimider V.________, le blessant toutefois à une ou deux reprises. Ensuite de ce qui précède, à Lausanne, sur [...], à la hauteur des toilettes publiques, le 27 septembre 2019, vers 23h55, V.________, sous l’influence de l’alcool (taux entre 1.06 et 2.97 g/kg) et porté par sa colère, a pris en main son couteau – type « couteau suisse Victorinox » rouge, 6 cm de long – rangé dans une des poches de son sac à dos et a attaqué S.________. Au cours de leur altercation, V.________ et S.________ se sont mutuellement assénés des coups de couteau, V.________ blessant notamment S.________ au niveau de l’épaule. Lors de son examen clinique le 28 septembre 2019 à 11h00 au poste de police, S.________ présentait les lésions suivantes (P. 40) : - une plaie en région scapulaire droite, une plaire suturée au niveau de l’épaule droite et une plaie suturée à la face latérale de la phalange distale de l’index droit ; - une lésion crouteuse au niveau de l’épaule droite ; - des croûtes ou dermabrasions croûteuses au niveau de la tête, du dos, du membre supérieur droit et du membre inférieur gauche.</w:t>
      </w:r>
    </w:p>
    <w:p>
      <w:r>
        <w:t>- 18 -</w:t>
      </w:r>
    </w:p>
    <w:p>
      <w:r>
        <w:rPr>
          <w:b/>
        </w:rPr>
        <w:t>E. 2.2</w:t>
      </w:r>
    </w:p>
    <w:p>
      <w:r>
        <w:t>; TF 6B_317/2020 du 1 juillet 2020 consid. 4.1). Il doit tenir compte de er tous les éléments propres à éclairer l'ensemble du caractère de l'accusé et ses chances d'amendement. Il ne peut accorder un poids particulier à</w:t>
      </w:r>
    </w:p>
    <w:p>
      <w:r>
        <w:t>- 33 - certains critères et en négliger d'autres qui sont pertinents (ATF 135 IV 180 précité ; ATF 134 IV 1 précité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du 30 mars 2020 consid. 3.1 ; TF 6B_1216/2019 du 28 novembre 2019 consid. 5.1 ; TF 6B_584/2019 du 15 août 2019 consid. 3.1 et les références citées).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6B_1192/2019 du 28 février 2020 consid. 2.1).</w:t>
      </w:r>
    </w:p>
    <w:p>
      <w:r>
        <w:rPr>
          <w:b/>
        </w:rPr>
        <w:t>E. 2.2.1</w:t>
      </w:r>
    </w:p>
    <w:p>
      <w:r>
        <w:t>Cas 2.1 A Lausanne, au centre commercial « [...] », Rue [...], dans les rayons [...], le 4 octobre 2019, vers 15h20, V.________, qui imitait bruyamment le son du mouvement de charge d’une arme à feu, a tendu son bras en direction de l’App P.________ en mimant la forme d’une arme avec sa main et l’a menacé en simulant l’action de tirer un coup de feu en sa direction, accompagnant son geste de plusieurs détonations faites avec sa bouche, tout en continuant à se déplacer dans l’allée du commerce. Lors du contrôle de police qui a suivi, V.________ a refusé de fournir une pièce d’identité, prétextant qu’il n’en avait pas. Bien que l’App P.________ lui ait demandé de s’immobiliser, il n’a pas obtempéré, contrai- gnant l’agent de police à le saisir par le bras en le plaçant dos à un rayon du magasin. V.________ a alors adopté une attitude oppositionnelle, a craché au sol en déclarant notamment que « le travail de policier consistait à être payé à ne rien faire et qu’il ne fallait pas se croire supérieur sous prétexte de porter un uniforme » et refusant toujours de décliner son identité. Seule la fouille de son sac – qu’il a dans un premier temps refusée – et des recherches ultérieures ont permis d’établir son identité.</w:t>
      </w:r>
    </w:p>
    <w:p>
      <w:r>
        <w:rPr>
          <w:b/>
        </w:rPr>
        <w:t>E. 2.2.2</w:t>
      </w:r>
    </w:p>
    <w:p>
      <w:r>
        <w:t>Cas 2.2 A [...], au « [...] », Chemin [...], le 19 octobre 2019, vers 17h30, V.________ a pénétré sans droit dans le commerce [...] en dépit d’une interdiction d’entrée notifiée le 14 juin 2019 et valable pour une durée de deux ans, et y a dérobé de la marchandise, soit notamment de la nourriture et de l’alcool, pour un montant total de 206 fr. 10 en la dissimulant dans son sac avant de franchir les caisses. La marchandise a été restituée au commerce lésé.</w:t>
      </w:r>
    </w:p>
    <w:p>
      <w:r>
        <w:rPr>
          <w:b/>
        </w:rPr>
        <w:t>E. 2.3</w:t>
      </w:r>
    </w:p>
    <w:p>
      <w:r>
        <w:t>Infractions contre l’intégrité sexuelle</w:t>
      </w:r>
    </w:p>
    <w:p>
      <w:r>
        <w:rPr>
          <w:b/>
        </w:rPr>
        <w:t>E. 2.3.1</w:t>
      </w:r>
    </w:p>
    <w:p>
      <w:r>
        <w:t>Cas 3.1</w:t>
      </w:r>
    </w:p>
    <w:p>
      <w:r>
        <w:t>- 19 - A [...], avant l’arrêt « [...] », le 8 ou le 10 octobre 2019, entre 16h30 et 17h45 environ, V.________ est descendu au même arrêt de bus que l’écolière H.________ – née le [...] 2004 et alors âgée de 15 ans – et l’a suivie en direction d’un arrêt du bus n° [...]. Tout en s’approchant de H.________, en effectuant des allers et retours à proximité de la station, V.________ l’a regardée fixement tout en tenant les propos suivants : « je vais lui démonter la chatte (…) je vais lui démonter l’anus (…) je vais me faire sucer (…) je vais me faire une gorge profonde (…) je vais la défoncer, avec la chatte bien rasée comme on aime ». V.________ est ensuite monté dans le bus n° [...] avec H.________ et, bien que cette dernière se soit assise dans une autre partie du véhicule, a encore continué à la regarder fixement.</w:t>
      </w:r>
    </w:p>
    <w:p>
      <w:r>
        <w:rPr>
          <w:b/>
        </w:rPr>
        <w:t>E. 2.3.2</w:t>
      </w:r>
    </w:p>
    <w:p>
      <w:r>
        <w:t>Cas 3.2 A Lausanne, au niveau de [...], le 24 octobre 2019, vers 17h30, V.________ a observé de manière soutenue O.________ qui faisait du jogging, la regardant tout en se mordant la lèvre alors qu’elle courait dans sa direction et a, ensuite – alors que la joggeuse arrivait à sa hauteur –, exhibé son pénis, en le tenant d’une main au travers de sa braguette.</w:t>
      </w:r>
    </w:p>
    <w:p>
      <w:r>
        <w:rPr>
          <w:b/>
        </w:rPr>
        <w:t>E. 2.3.3</w:t>
      </w:r>
    </w:p>
    <w:p>
      <w:r>
        <w:t>Cas 3.3 Le 25 octobre 2019, vers 18h00, à [...], sur le [...], peu avant [...], V.________ a abordé Z.________ qui rentrait chez elle à la fin de sa journée de travail et lui a proposé de boire un verre, ce que Z.________ a accepté après avoir discuté avec lui. Ayant refusé la proposition de Z.________ de s’arrêter vers la plage publique de [...], V.________ l’a convaincue de s’assoir sur un banc isolé et entouré d’arbres entre [...]. Durant près d’une heure, V.________ et Z.________ ont discuté et bu de l’alcool provenant d’une bouteille de whisky que le prévenu avait en sa possession. Au cours de leur conversation, V.________ a fait plusieurs allusions à caractère sexuel à Z.________, lui proposant notamment de « (faire) quelque chose ensemble », propositions auxquelles Z.________ a clairement répondu par la négative : « je lui ai clairement dit que j’étais pas intéressée d’avoir des aventures ». A une reprise, lors de cette discussion, V.________ l’a également suivie alors qu’elle allait uriner et a</w:t>
      </w:r>
    </w:p>
    <w:p>
      <w:r>
        <w:t>- 20 - abaissé son pantalon, ainsi que son caleçon, lui montrant ainsi son sexe, avant de se rhabiller et de s’éloigner, à la demande de Z.________. A un moment, alors qu’ils étaient tous les deux sur le banc entre le port et la plage de [...], V.________ a, soudainement et sans raison apparente, changé d’attitude, adoptant un comportement verbalement et physiquement agressif envers Z.________. Alors que cette dernière manifestait son intention de partir, V.________ l’a saisie, l’a mise à terre, s’est placé au-dessus d’elle, s’est assis sur son dos, l’a maintenue au sol – face contre terre – d’une main et lui a touché les fesses de l’autre main, sur les vêtements. Alors que V.________ était à califourchon sur Z.________ – qui se débattait à l’aide de ses jambes et de ses bras et lui demandait de manière répétée de la laisser tranquille – le prévenu a maintenu sa prise essayant d’introduire sa main dans le pantalon de Z.________, sous sa culotte au niveau des fesses, et l’a embrassée de force (baiser lingual). Constatant que Z.________ était en pleurs, V.________ l’a lâché. Il est ensuite reparti avec elle en direction de la piscine de [...]. Peu après, à l’extrémité du pont passant au-dessus du cours d’eau [...], V.________ a entrainé Z.________ sur un chemin longeant la rivière, l’a saisie par les épaules et l’a jetée à terre. Il s’est ensuite placé à califourchon sur elle alors qu’elle était allongée sur le côté, ne cessant de la maintenir au sol, tandis qu’elle se débattait, au moyen de ses jambes et de ses bras, et de la pousser contre le grillage de la piscine lorsqu’elle essayait de se relever. Durant cette lutte, au cours de laquelle Z.________ n’a eu de cesse de pleurer, se débattre et crier, demandant au prévenu de la laisser, V.________ a successivement : introduit sa main dans son pantalon, à l’avant, puis dans sa culotte, touchant son sexe à même la peau et tentant de la pénétrer avec ses doigts, sans y parvenir car elle se débattait ; alors qu’elle était couchée au sol sur le ventre et qu’il s’était placé derrière elle, il a passé sa main dans son pantalon, à l’arrière et sous sa culotte au niveau des fesses, sur la peau ; alors qu’elle était debout et qu’il était derrière elle, il a touché ses seins en passant ses deux mains sous son t-shirt et son soutien-gorge ; au moment où elle était assise contre le grillage, il s’est placé debout devant elle, a baissé son pantalon</w:t>
      </w:r>
    </w:p>
    <w:p>
      <w:r>
        <w:t>- 21 - et son boxer, a sorti son sexe lui demandant de le « sucer » en appuyant son sexe, qui n’était pas en érection, contre sa bouche alors que Z.________ hurlait en lui demandant de la laisser, puis il lui a tiré les cheveux. Z.________ lui a dit qu’elle ne voulait pas lui prodiguer une fellation. Ce n’est qu’en apercevant un homme (non identifié) cheminant dans leur direction que V.________ a été interrompu. Il a alors rapidement remis ses vêtements, saluant ensuite l’individu lorsque ce dernier est passé à leur hauteur. Constatant que le passant s’éloignait, V.________ a à nouveau baissé son pantalon et collé son sexe sur le visage de Z.________, qui a alors crié : « aidez-moi », conduisant le passant à faire demi-tour. Profitant de l’entretien qui avait cours entre V.________ et l’individu inconnu, Z.________ est partie en direction du Port de [...], rejointe ensuite par le passant. Tandis qu’ils cheminaient tous deux dans cette direction, V.________ les a suivis et a encore injurié Z.________, la traitant de « salope ». C’est alors que l’homme a proposé à V.________ d’aller boire un verre dans un établissement public, ce qui a permis à Z.________ de prendre la fuite. Le 28 octobre 2019, Z.________ présentait des hématomes simples au niveau des avant-bras sans tuméfaction ni douleur à la mobilisation (P. 80).</w:t>
      </w:r>
    </w:p>
    <w:p>
      <w:r>
        <w:rPr>
          <w:b/>
        </w:rPr>
        <w:t>E. 2.4</w:t>
      </w:r>
    </w:p>
    <w:p>
      <w:r>
        <w:t>Consommation de stupéfiants A Lausanne notamment, entre le 25 novembre 2017 – les faits antérieurs étant prescrits – et le 29 octobre 2019 – date de son interpellation –, V.________ a occasionnellement consommé du cannabis, de l’ecstasy et de la cocaïne. En d roit : 1. Interjeté dans les formes et délais légaux (art. 399 CPP [Code de procédure pénale suisse du 5 octobre 2007 ; RS 312.0]) par une partie ayant qualité pour recourir contre le jugement d'un tribunal de première</w:t>
      </w:r>
    </w:p>
    <w:p>
      <w:r>
        <w:t>- 22 - instance qui a clos la procédure (art. 398 al. 1 CPP), l’appel de V.________ est recevable.</w:t>
      </w:r>
    </w:p>
    <w:p>
      <w:r>
        <w:rPr>
          <w:b/>
        </w:rPr>
        <w:t>E. 3.1</w:t>
      </w:r>
    </w:p>
    <w:p>
      <w:r>
        <w:t>L’appelant conteste tout d’abord la qualité de partie plaignante de S.________ et la recevabilité des conclusions civiles de celui- ci. Il fait valoir que les premiers juges ont retenu à tort que S.________ n’avait pas renoncé clairement et sans condition à faire valoir des conclusions civiles, que celui-ci a renoncé à déposer plainte et, ce faisant, à participer à la procédure pénale comme demandeur au pénal et au civil, et que sa volonté est clairement établie.</w:t>
      </w:r>
    </w:p>
    <w:p>
      <w:r>
        <w:rPr>
          <w:b/>
        </w:rPr>
        <w:t>E. 3.2</w:t>
      </w:r>
    </w:p>
    <w:p>
      <w:r>
        <w:t>Toute personne lésée peut porter plainte contre l’auteur d’une infraction (art. 30 al. 1 CP). Si l'ayant droit a expressément renoncé à porter plainte, sa renonciation est définitive (art. 30 al. 5 CP). Seule est</w:t>
      </w:r>
    </w:p>
    <w:p>
      <w:r>
        <w:t>- 23 - valable la renonciation claire et inconditionnelle à déposer plainte (ATF 79 IV 97 consid. 2 ; ATF 75 IV 15 consid. 4 ; ATF 74 IV 81 consid. 5 ; TF 6B_220/2019 du 12 avril 2019 consid. 1.1). Aux termes de l’art. 120 CPP, le lésé peut en tout temps déclarer par écrit ou par oral qu’il renonce à user des droits qui sont les siens ; la déclaration orale est consignée au procès-verbal. La renonciation est définitive (al. 1) Si la renonciation n’a pas été expressément restreinte à l’aspect pénal ou à l’aspect civil, elle vaut tant pour la plainte pénale que pour l’action civile (al. 2).</w:t>
      </w:r>
    </w:p>
    <w:p>
      <w:r>
        <w:rPr>
          <w:b/>
        </w:rPr>
        <w:t>E. 3.3</w:t>
      </w:r>
    </w:p>
    <w:p>
      <w:r>
        <w:t>Aux débats, les premiers juges ont rejeté la réquisition de V.________ tendant à ce qu’il soit constaté que S.________ n’a pas la qualité de partie plaignante au civil dans le cadre de la présente procédure et ont constaté la qualité de partie demanderesse au civil de S.________. Lors de son audition par la police le 28 septembre 2019 en qualité de prévenu, S.________, répondant à la question « Souhaitez-vous déposer une plainte pénale ? », a déclaré : « Non. Vous me dites que l’autre Monsieur n’a pas déposé plainte, donc non je ne veux pas et l’histoire s’arrête là. » (dossier B, PV aud. 2 R 9). Il a confirmé ses déclarations lors de son audition par le Ministère public le 29 septembre 2019 : « Pour vous répondre, je ne veux pas déposer plainte. Je ne veux pas de frais. » (dossier B, PV aud. 3, ll. 34- 35). Par ses déclarations claires et univoques qui ne prêtent pas à discussion, S.________, alors assisté par son défenseur, a renoncé à déposer plainte, sans restreindre sa renonciation à l’aspect pénal ou à l’aspect civil. La Cour de céans ne discerne aucune condition dans la renonciation exprimée par S.________, dont la volonté signifiée à la police, puis confirmée au Ministère public, était bel et bien de ne pas déposer de plainte pénale contre V.________, sans aucune réserve. Partant, il convient d’admettre ce grief et de considérer que S.________ n’est plus partie à la présente procédure, sa renonciation valant tant pour la plainte pénale que pour l’action civile (cf. art. 120 al. 2 CPP).</w:t>
      </w:r>
    </w:p>
    <w:p>
      <w:r>
        <w:t>- 24 - En conséquence, les conclusions civiles prises par S.________ sont irrecevables.</w:t>
      </w:r>
    </w:p>
    <w:p>
      <w:r>
        <w:rPr>
          <w:b/>
        </w:rPr>
        <w:t>E. 3.3.1</w:t>
      </w:r>
    </w:p>
    <w:p>
      <w:r>
        <w:t>; TF 6B_40/2021 et 6B_111/2021 du 29 septembre 2021 consid. 4.2). Selon la jurisprudence du Tribunal fédéral (ATF 146 IV 105 précité consid. 3 ; ATF 144 IV 332 précité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w:t>
      </w:r>
    </w:p>
    <w:p>
      <w:r>
        <w:t>- 38 - (ATF 144 IV 332 précité ; TF 6B_40/2021 et 6B_111/2021 précités ; TF 6B_708/2020 du 11 mars 2021 consid. 5.1). L'examen de la clause de rigueur doit être effectué dans chaque cas sur la base des critères d'intégration habituels (ATF 144 IV 332 précité ; TF 6B_40/2021 et 6B_111/2021 précités).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6B_40/2021 et 6B_111/2021 précités). 6.2.2 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w:t>
      </w:r>
    </w:p>
    <w:p>
      <w:r>
        <w:t>- 39 - et avec le pays de destination, notamment du préjudice qu'il aurait à subir avec sa famille du fait de l'expulsion (ATF 139 II 121 consid. 6.5.1 ; ATF 135 II 377 précité ; TF 6B_506/2017 du 14 février 2018 consid. 2.1). D'après une jurisprudence constante, les relations visées par l'art. 8 CEDH sont avant tout celles qui concernent la famille dite nucléaire, soit celles qui existent entre époux ainsi qu'entre parents et enfants mineurs vivant en ménage commun (ATF 144 II 1 consid. 6.1 ; ATF 135 I 143 consid. 1.3.2 ; TF 6B_908/2019 du 5 novembre 2019 consid. 2.1.1).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 6.3 En l’espèce, le prévenu a commis une infraction (contrainte sexuelle) qui tombe sous le coup de l’art. 66a al. 1 let. h CP, de sorte qu’il remplit les conditions d’une expulsion obligatoire, sous réserve de l'application de l'art. 66a al. 2 CP. Quoi qu’en dise le prévenu, son intégration en Suisse est très médiocre. En effet, il a pour seules attaches en Suisse ses parents, ses deux frères, deux oncles, deux tantes et sept cousins, membres de sa famille ne constituant pas la famille « nucléaire » au sens de la jurisprudence. Le prévenu, qui n’a pas achevé la formation de mécanicien qu’il avait entamée, est célibataire et n’a personne à charge. Il vit chez ses parents, lesquels ont pourvu intégralement à son entretien, sous réserve de ses frais de téléphone, afin qu’il puisse rembourser l’intégralité de ses dettes qui se montaient à plus de 20'000 francs. Après avoir alterné des périodes de chômage et d’emplois divers, il a bénéficié du chômage, puis a émargé à l’aide sociale avant de trouver un emploi en août 2020. Le prévenu travaille certes pour le même employeur depuis le 13 novembre 2020, mais son intégration professionnelle est très récente. A cela s’ajoute le fait que l’extrait de son casier judiciaire suisse fait état de sept condamnations entre 2013 et 2021, que ses quatre condamnations à des</w:t>
      </w:r>
    </w:p>
    <w:p>
      <w:r>
        <w:t>- 40 - peines pécuniaires et ses trois condamnations à des peines privatives de liberté n’ont eu aucun effet sur son comportement délictueux et que les nombreuses infractions pour lesquelles il est condamné par le jugement attaqué sont objectivement graves. Les pièces produites par le prévenu à l’audience d’appel (P. 165) ne changent rien à ces constats mis en lien avec son intégration. Le prévenu, qui parle espagnol, a certes peu de liens avec l’Equateur où il a une tante, une grand-mère et un cousin, mais il est régulièrement en contact avec ces derniers. Il ne rencontrerait donc pas de grandes difficultés d’intégration dans son pays d’origine, lesquelles ne seraient en tous les cas pas plus importantes que celles qu’il connaît en Suisse. En outre, aucun élément ne permet de penser que son intégration dans son pays d’origine serait plus difficile qu’en Suisse où il ne se prévaut pas d’une intégration sociale aboutie, si ce n’est qu’il est membre d’un club de football amateur de 5e ligue. Enfin, les moyens de télécommunication modernes lui permettront de demeurer en contact continu avec les membres de sa famille demeurés en Suisse (TF 6B_1174/2020 du 23 juin 2021 ; cf., à cet égard également, TF 6B_627/2021 du 27 août 2021 consid. 4.3.3). Aussi, l’expulsion du prévenu ne le mettrait pas dans une situation personnelle grave. Partant, l’intérêt public à l’expulsion du prévenu l’emporte nettement sur l’intérêt privé de celui-ci à demeurer en Suisse. Les conditions de la clause de rigueur de l'art. 66a al. 2 CP ne sont donc pas réunies et l’expulsion de V.________ du territoire suisse pour une durée de 5 ans, conforme au principe de la proportionnalité, doit être confirmée. 7. 7.1 L’appel étant très partiellement admis, il convient d’examiner la répartition des frais de première instance. 7.2 L’art. 426 al. 1, 1re phr., CPP prévoit que le prévenu supporte les frais de procédure s’il est condamné. En cas d’acquittement, tout ou partie des frais de procédure peuvent être mis à la charge du prévenu s’il</w:t>
      </w:r>
    </w:p>
    <w:p>
      <w:r>
        <w:t>- 41 - a, de manière illicite et fautive, provoqué l’ouverture de la procédure ou rendu plus difficile la conduite de celle-ci (art. 426 al. 2 CPP). 7.3 Les premiers juges ont mis l’intégralité des frais de première instance, y compris les indemnités allouées aux mandataires d’office des parties, à la charge du prévenu. En appel, la qualité de partie plaignante est déniée à S.________, Aussi, quand bien même la condamnation du prévenu est confirmée par la Cour de céans, l’indemnité allouée au conseil d’office de S.________ pour la procédure de première instance sera, en équité, laissée à la charge de l’Etat. Le montant des frais de première instance mis à la charge du prévenu doit ainsi être réduit à 75'100 fr. 65. 8. En définitive, l’appel de V.________ doit être très partiellement admis, le jugement entrepris devant être modifié aux chiffres IX, X, XIII et XV à XVII dans le sens des considérants qui précèdent. Sur la base de la liste des opérations produite par le défenseur d’office de V.________ (P. 166) – dont il n’y a pas lieu de s’écarter si ce n’est pour tenir compte de l’audience d’appel qui a duré 2h et pour allouer des débours forfaitaires à concurrence de 2% –, une indemnité d’un montant total de 5'946 fr., montant correspondant à 29h25 d’activité d’avocat breveté au tarif horaire de 180 fr., soit 5'295 fr., 105 fr. 90 de débours forfaitaires, une vacation à 120 fr. et 425 fr.10 de TVA (art. 2 al. 1 let. a et 3bis al. 1 et al. 3 RAJ [Règlement sur l’assistance judiciaire en matière civile du 7 décembre 2010 ; BLV 211.02.3], applicables par renvoi de l’art. 26b TFIP [Tarif des frais de procédure et indemnités en matière pénale du 28 septembre 2010 ; BLV 312.03.1]), doit être allouée à Me David Abikzer. La liste des opérations produite par le conseil d’office de S.________ (P. 167/1) fait état de 3,95 h d’activité d’avocat breveté et de 4,5 h d’activité d’avocat-stagiaire. Compte tenu de la connaissance du dossier acquise depuis la première instance par le mandataire et de</w:t>
      </w:r>
    </w:p>
    <w:p>
      <w:r>
        <w:t>- 42 - l’activité d’avocat nécessaire à la défense de l’intimé S.________, le temps allégué est excessif et doit être réduit de 2,15 h s’agissant de l’activité de l’avocat. Il ne peut être tenu compte du temps consacré à l’examen des motifs du jugement de première instance (0,5 h), cette opération postérieure au premier jugement faisant partie intégrante de l’indemnité d’office arrêtée par les premiers juges. Il convient également de supprimer le temps consacré à l’examen des courriers du Ministère public, de l’Office d’exécution des peines et du/au Tribunal cantonal, ce temps n’étant pas justifié par la complexité de la cause. Enfin, on ajoutera une heure d’activité d’avocat-stagiaire pour tenir compte du temps effectif de l’audience d’appel. Il convient par conséquent de retenir 1h48 d’activité d’avocat breveté au tarif horaire de 180 fr., 5h30 d’activité d’avocat-stagiaire au tarif horaire de 110 fr., des débours forfaitaires à concurrence de 2% et une vacation à 80 fr. (art. 2 al. 1 let. a et let. b, et 3bis al. 1 et al. 3 RAJ). L’indemnité de défenseur d’office de Me Christian Dénériaz pour la procédure d’appel est par conséquent fixée à 1'106 fr. 75 (324 fr. [honoraires avocat] + 605 fr. [honoraires avocat- stagiaire] + 18 fr. 60 [débours] + 80 fr. [1 vacation] + 79 fr. 15 [TVA]). Cette indemnité sera laissée à la charge de l’Etat. Vu l’issue de la cause, les frais d’appel, par 10'276 fr., constitués en l’espèce de l’émolument de jugement, par 4'330 fr. (art. 21 al. 1 et 2 TFIP), et de l’indemnité allouée au défenseur d’office du prévenu, par 5'946 fr., seront mis à raison des 4/5, soit 8'220 fr. 80, à la charge de V.________, le solde étant laissé à la charge de l’Etat (art. 428 al. 1 CPP). V.________ ne sera tenu de rembourser les 4/5 de l’indemnité d’office allouée pour la procédure d’appel à son défenseur d’office que lorsque sa situation financière le permettra (art. 135 al. 4 let. a CPP).</w:t>
      </w:r>
    </w:p>
    <w:p>
      <w:r>
        <w:t>- 43 -</w:t>
      </w:r>
    </w:p>
    <w:p>
      <w:r>
        <w:rPr>
          <w:b/>
        </w:rPr>
        <w:t>E. 4.1</w:t>
      </w:r>
    </w:p>
    <w:p>
      <w:r>
        <w:t>Invoquant une constatation incomplète et erronée des faits, et une violation de la présomption d’innocence, l’appelant conteste la version des faits du cas 1 retenue par les premiers juges. Il souligne les contradictions dans le récit du plaignant retenu par le jugement. Il fait valoir que les déclarations de S.________ auraient dû être retenues avec la plus grande réserve, que celui-ci n’a déposé plainte que le 9 septembre 2020, soit deux mois après le jugement libératoire rendu le 3 juillet 2020 par le Tribunal de police de l’arrondissement de Lausanne à son encontre et près d’un an et demi après les faits reprochés, qu’il avait ainsi eu tout loisir de modifier sa version des faits en fonction des auditions et des investigations déjà menées, qu’il a lui-même dû repousser l’attaque illicite du prénommé, et non l’inverse, que S.________ a au départ expressément admis qu’il avait d’abord blessé l’appelant, avant d’être à son tour blessé par le couteau de l’appelant, et que ce n’est qu’à l’audience de jugement que S.________ a déclaré que l’appelant lui avait donné les premiers coups de couteau, lui-même n’ayant sorti le sien qu’après, qu’il n’avait donné aucun coup de couteau et que l’appelant s’était blessé tout seul. Il allègue que, au vu de ces contradictions, les déclarations de S.________ auraient dû être appréciées avec circonspection, arguant que la seule explication des juges selon laquelle l’appelant est plus jeune et plus baraqué que S.________ ne suffit pas à fonder un état de fait dans lequel l’appelant serait l’assaillant. Invoquant la légitime défense, l’appelant soutient qu’il a agi uniquement pour se défendre, répondant à une attaque illicite et injustifiée de son assaillant qui lui avait donné un premier coup de couteau qui aurait pu avoir des conséquences fatales pour lui, que sa vie a été mise en danger, qu’il s’agissait de l’ultime moyen de défense et que les conditions d’application de l’art. 15 CP sont réunies.</w:t>
      </w:r>
    </w:p>
    <w:p>
      <w:r>
        <w:rPr>
          <w:b/>
        </w:rPr>
        <w:t>E. 4.2</w:t>
      </w:r>
    </w:p>
    <w:p>
      <w:r>
        <w:t>- 25 -</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w:t>
      </w:r>
    </w:p>
    <w:p>
      <w:r>
        <w:t>- 26 -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 Les déclarations de la victime constituent un élément de preuve. Le juge doit, dans l'évaluation globale de l'ensemble des éléments probatoires rassemblés au dossier, les apprécier librement (TF 6B_1271/2020 du 20 août 2021 consid. 1.1.1 ; TF 6B_892/2020 du 16 février 2021 consid. 6.1 ; TF 6B_238/2020 du 14 décembre 2020 consid. 1.3 et les références citées), sous réserve des cas particuliers où une expertise de la crédibilité des déclarations de la victime s'impose (ATF 129 IV 179 consid. 2.4 ; TF 6B_976/2020 du 3 décembre 2020 consid. 1.2).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w:t>
      </w:r>
    </w:p>
    <w:p>
      <w:r>
        <w:t>- 27 - acquittement. L'appréciation définitive des déclarations des participants incombe au tribunal du fond (ATF 137 IV 122 consid. 3.3 ; TF 6B_1271/2020 précité ; TF 6B_892/2020 précité).</w:t>
      </w:r>
    </w:p>
    <w:p>
      <w:r>
        <w:rPr>
          <w:b/>
        </w:rPr>
        <w:t>E. 4.2.2</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6B_346/2016 du 31 janvier 2017 consid. 2.1.2).</w:t>
      </w:r>
    </w:p>
    <w:p>
      <w:r>
        <w:rPr>
          <w:b/>
        </w:rPr>
        <w:t>E. 4.3</w:t>
      </w:r>
    </w:p>
    <w:p>
      <w:r>
        <w:t>En l’espèce, s’il est exact que S.________ a varié dans ses déclarations, affirmant même à l’audience de jugement qu’il n’avait pas porté de coup de couteau à l’appelant et que ce dernier s’était blessé tout seul (jugement p. 23), cela n’est pas aussi déterminant que le soutient l’appelant. L’appelant a lui-même déclaré, en début d’enquête, qu’après avoir mis son sac devant lui pour se protéger, il avait frappé S.________ a coups de poing et de claques et peut-être à coups de pied, avant d’être touché au</w:t>
      </w:r>
    </w:p>
    <w:p>
      <w:r>
        <w:t>- 28 - niveau du cou, relevant à cet égard : « Je ne pense pas que c’était un coup volontaire. (…) Dès que j’ai senti ce coup, cela m’a énervé encore plus et je suis allé contre lui. Je pense que c’est à ce moment-là qu’il a fait le mouvement en avant avec le couteau et qu’il m’a touché à l’abdomen avec la pointe du couteau. J’ai senti quand il m’avait touché. J’ai reculé. Lui a commencé à courir, je l’ai pourchassé sur environ 5 mètres » (dossier B, PV aud. 1 R. 5 p. 3). En outre, il est constant qu’au début de l’algarade, c’est bel et bien l’appelant lui-même, frustré et énervé, qui a pourchassé et attaqué S.________. L’appelant ayant lui-même pris l’initiative de la confrontation physique et violente, il ne peut être retenu qu’il faisait l’objet d’une attaque « de manière contraire au droit » au sens de l’art. 15 CP et qu’il n’avait pas d’autre choix que d’utiliser la violence pour se protéger et échapper à une agression. Toute situation de légitime défense est donc exclue. Il s’ensuit que l’appréciation des preuves faite par les premiers juges n’est pas critiquable et que leur conviction quant à la culpabilité de l’appelant doit être partagée. C’est également à juste titre qu’ils ont retenu que les lésions infligées par l’appelant à S.________ étaient constitutives de lésions corporelles simples qualifiées, infraction dont la qualification juridique n’est au demeurant pas contestée. Ce grief doit donc être rejeté et la condamnation de l’appelant pour lésions corporelles simples qualifiées confirmée.</w:t>
      </w:r>
    </w:p>
    <w:p>
      <w:r>
        <w:rPr>
          <w:b/>
        </w:rPr>
        <w:t>E. 5.1</w:t>
      </w:r>
    </w:p>
    <w:p>
      <w:r>
        <w:t>L’appelant, qui conclut à son acquittement du chef de prévention de lésions corporelles simples qualifiées, critique la peine prononcée sans toutefois en contester la quotité, la conclusion tendant à la réduction de la peine à 24 mois étant uniquement liée à l’acquittement sollicité. Il fait valoir que les premiers juges ont minimisé les conclusions du rapport d’expertise psychiatrique, que l’alcool qu’il ingérait ne servait qu’à réduire les effets, alors méconnus, de sa schizophrénie paranoïde, que les grandes quantités d’alcool qu’il consommait avaient un effet désinhibiteur sur ses pulsions, que son évolution est très positive, qu’il a</w:t>
      </w:r>
    </w:p>
    <w:p>
      <w:r>
        <w:t>- 29 - cessé toute consommation d’alcool et de cannabis, qu’il a remboursé ses dettes de plus de 20'000 fr. et qu’il ne doit pas être condamné à une peine ferme supérieure à celle qu’il a déjà purgée, soit un peu plus de 9 mois.</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w:t>
      </w:r>
    </w:p>
    <w:p>
      <w:r>
        <w:t>- 30 - 202 consid. 2d/aa ; ATF 118 IV 342 consid. 2d ; TF 6B_780/2018 du 9 octobre 2018 consid. 2.1).</w:t>
      </w:r>
    </w:p>
    <w:p>
      <w:r>
        <w:rPr>
          <w:b/>
        </w:rPr>
        <w:t>E. 5.2.2</w:t>
      </w:r>
    </w:p>
    <w:p>
      <w:r>
        <w:t>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consid. 5.5, JdT 2010 IV 127).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Un tel procédé permet de tenir compte de la diminution de la responsabilité, sans lui attribuer une signification excessive (ATF 136 IV 55 consid. 5.6).</w:t>
      </w:r>
    </w:p>
    <w:p>
      <w:r>
        <w:t>- 31 - En présence d’une diminution de responsabilité pénale, le juge doit ainsi procéder en deux étapes.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consid. 5.7).</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w:t>
      </w:r>
    </w:p>
    <w:p>
      <w:r>
        <w:t>- 32 - doivent être prononcées cumulativement. La peine privative de liberté et la peine pécuniaire ne sont pas des sanctions du même genre (ATF 144 IV 313 consid. 1.1.1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5.2.4</w:t>
      </w:r>
    </w:p>
    <w:p>
      <w:r>
        <w:t>Selon l'art. 42 al. 1 CP, le juge suspend en règle générale l'exécution d'une peine pécuniaire ou d’une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Le sursis est la règle dont on ne peut s'écarter qu'en présence d'un pronostic défavorable. Il prime en cas d'incertitude (cf.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6B_805/2020 du 15 juillet 2020 consid.</w:t>
      </w:r>
    </w:p>
    <w:p>
      <w:r>
        <w:rPr>
          <w:b/>
        </w:rPr>
        <w:t>E. 5.2.5</w:t>
      </w:r>
    </w:p>
    <w:p>
      <w:r>
        <w:t>La durée de la peine privative de liberté est de trois jours au moins et de 20 ans au plus (art. 40 al. 1, 1re phr., et al. 2 CP). L’art. 34 CP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Selon l’art. 106 al. 1 CP, sauf disposition contraire de la loi, le montant maximum de l’amende est de 10'000 francs. Selon l’art. 106 al. 3</w:t>
      </w:r>
    </w:p>
    <w:p>
      <w:r>
        <w:t>- 34 - CP, le juge fixe l’amende et la peine privative de liberté de substitution en tenant compte de la situation de l’auteur afin que la peine corresponde à la faute commise. Le principe de l’aggravation de l’art. 49 al. 1 CP s’applique en cas de concours réel de contraventions (Dupuis et alii [éd.], Code pénal, Petit commentaire, 2e éd., Bâle 2017, nn. 17 et 17a ad art. 49 CP).</w:t>
      </w:r>
    </w:p>
    <w:p>
      <w:r>
        <w:rPr>
          <w:b/>
        </w:rPr>
        <w:t>E. 5.3</w:t>
      </w:r>
    </w:p>
    <w:p>
      <w:r>
        <w:t>En l’espèce, V.________ doit être sanctionné pour contrainte sexuelle (art. 189 CP) – passible d’une peine privative de liberté de 10 ans au plus ou d’une peine pécuniaire –, lésions corporelles simples qualifiées (art. 123 ch. 2 al. 2 CP) – passibles d’une peine privative de liberté de 3 ans au plus ou d’une peine pécuniaire –, violation de domicile (art. 186 CP) – passible d’une peine privative de liberté de 3 ans au plus ou d’une peine pécuniaire –, injure (art. 177 al. 1 CP) – passible d’une peine pécuniaire de 90 jours-amende au plus –, exhibitionnisme (art. 194 al. 1 CP) – passible d’une peine pécuniaire –, empêchement d’accomplir un acte officiel (art. 286 CP) – passible d’une peine pécuniaire de 30 jours-amende au plus –, désagréments causés par la confrontation à un acte d’ordre sexuel, vol d’importance mineure (art. 172ter ad 139 ch. 1 CP) – passible de l’amende – et contravention à la loi fédérale sur les stupéfiants (art. 19a ch. 1 LStup) – passible de l’amende –. La sanction, fixée en application des critères légaux à charge et à décharge, et conformément à la culpabilité de l’appelant, ne prête pas le flanc à la critique et doit être confirmée. La Cour de céans fait donc sienne la motivation complète et convaincante des premiers juges telle qu’exposée dans le jugement entrepris (art. 82 al. 4 CPP ; jugement pp. 63-66), qui les a conduits à condamner le prévenu à une peine privative de liberté de 30 mois, dont 15 mois fermes. En effet, les faits reprochés à l’appelant et perpétrés sur une période d’un mois sont graves, puisqu’il s’en est pris cette fois aux biens juridiques les plus précieux que sont notamment l’intégrité physique et sexuelle d’autrui, pour des motifs purement égoïstes, soit sa propre satisfaction sexuelle. Ses nombreux antécédents témoignent de son absence de toute considération pour les normes et l’ordre public, les enquêtes successives ouvertes à son encontre</w:t>
      </w:r>
    </w:p>
    <w:p>
      <w:r>
        <w:t>- 35 - et ses quatre condamnations à des peines privatives de liberté entre 30 et 70 jours n’ayant eu absolument aucun effet dissuasif sur son comportement délictueux. A charge, il y a également lieu de retenir le concours d’infractions et son absence d’introspection s’agissant des lésions corporelles simples qualifiées du cas 1, l’appelant continuant à minimiser sa responsabilité en expliquant avoir agi uniquement pour se défendre. La faute de l’appelant devrait être qualifiée de lourde. Il convient toutefois de tenir compte de la diminution légère de responsabilité retenue par les experts (P. 41), à mettre en lien avec les graves troubles mentaux dont il souffre et l’abus d’alcool, présents au moment des faits. Aussi, par l’effet de l’art. 19 al. 2 CP, la faute de l’appelant, prise dans son ensemble, doit être atténuée et considérée comme moyenne, cette atténuation valant pour toutes les infractions retenues. A sa décharge, il y a lieu de prendre également en considération le parcours chaotique de l’appelant du point de vue de sa formation et de son insertion dans le monde du travail, et le bon comportement adopté depuis sa sortie de détention, soit le fait qu’il ait entrepris un traitement médicamenteux et un suivi psychiatrique à raison d’une séance par mois, qu’il ait renoué avec sa famille, qu’il ait trouvé un travail dans le cadre duquel il est apprécié et qu’il ait payé ses peines pécuniaires et remboursé ses dettes de plus de 20'000 francs. La contrainte sexuelle du cas 3.3, infraction la plus grave, justifie ainsi à elle seule une peine privative de liberté de 20 mois. Les effets du concours conduisent à l’augmentation de cette peine de base de</w:t>
      </w:r>
    </w:p>
    <w:p>
      <w:r>
        <w:rPr>
          <w:b/>
        </w:rPr>
        <w:t>E. 9</w:t>
      </w:r>
    </w:p>
    <w:p>
      <w:r>
        <w:t>mois pour les lésions corporelles simples qualifiées (cas 1) et d’un mois pour la violation de domicile (cas 2.2), ce qui justifie le prononcé d’une peine privative de liberté totale de 30 mois. Il convient d’assortir cette peine d’un sursis partiel. Grâce au traitement médicamenteux et au suivi psychiatrique que le prévenu a entrepris, ses graves troubles psychiques se sont stabilisés, mais le prévenu a encore consommé de l’alcool et du LSD durant les mois de mai</w:t>
      </w:r>
    </w:p>
    <w:p>
      <w:r>
        <w:t>- 36 - et juin 2021, comme en attestent de nombreuses pièces au dossier (P. 138, P. 143, P. 146/1, P. 148/2 et P. 152). L’importance et la diversité des biens juridiques lésés, ainsi que sa prise de conscience presque inexis- tante de la gravité des infractions contre l’intégrité corporelle et sexuelle, conduisent, à l’instar des premiers juges, à fixer à 15 mois la partie ferme de la peine devant être exécutée, la durée du délai d’épreuve devant être fixée à 4 ans. La peine pécuniaire de 90 jours-amende à 50 fr. le jour sanctionnant les infractions d’injure (cas 3.3), d’exhibitionnisme (cas 3.2 et 3.3) et d’empêchement d’accomplir un acte officiel (cas 2.1), et l’amende de 2'000 fr. sanctionnant les infractions de désagréments causés par la confrontation à un acte d’ordre sexuel (cas 3.1), de vol d’importance mineure (cas 2.2) et la contravention à la LStup (cas 4.1) ne sont pas contestées dans leur quotité. Compte tenu de la situation personnelle du prévenu et des fautes commises, ces peines sont adéquates et doivent être confirmées. 6. 6.1 L’appelant conteste son expulsion du territoire suisse prononcée par les premiers juges et invoque l’application de la clause de rigueur. Il fait valoir qu’il vit en Suisse depuis l’âge de 9 ans, qu’il y a suivi sa scolarité et y a travaillé, qu’il est désormais suivi par un psychiatre et que son intérêt privé à demeurer en Suisse prévaudrait sur l’intérêt public à son expulsion en raison de ses liens sociaux et professionnels intenses avec la Suisse. 6.2 6.2.1 Aux termes de l'art. 66a al. 1 let. h CP, le juge expulse de Suisse l'étranger qui est condamné pour contrainte sexuelle (art. 189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w:t>
      </w:r>
    </w:p>
    <w:p>
      <w:r>
        <w:t>- 37 - demeurer en Suisse. A cet égard, il tiendra compte de la situation particulière de l'étranger qui est né ou qui a grandi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 TF 6B_1262/2018 du 29 janvier 2019 consid. 2.2). La clause de rigueur permet de garantir le principe de la proportionnalité (cf. art. 5 al. 2 Cst.). Elle doit être appliquée de manière restrictive (ATF 146 IV 105 consid. 3.4.2 ; ATF 144 IV 332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