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PE19.021197 vom 7. März 2022</w:t>
      </w:r>
    </w:p>
    <w:p>
      <w:r>
        <w:t>VD Tribunal cantonal, 2022-03-07, FR</w:t>
      </w:r>
    </w:p>
    <w:p>
      <w:r>
        <w:rPr>
          <w:b/>
        </w:rPr>
        <w:t xml:space="preserve">Quelle: </w:t>
      </w:r>
      <w:r>
        <w:t>https://mcp.opencaselaw.ch/entscheid/vd_gerichte_PE19.021197</w:t>
      </w:r>
    </w:p>
    <w:p>
      <w:r>
        <w:t>FR: VD_GERICHTE PE19.021197 du 7 mars 2022</w:t>
      </w:r>
    </w:p>
    <w:p>
      <w:r>
        <w:t>IT: VD_GERICHTE PE19.021197 del 7 marzo 2022</w:t>
      </w:r>
    </w:p>
    <w:p>
      <w:pPr>
        <w:pStyle w:val="Heading2"/>
      </w:pPr>
      <w:r>
        <w:t>Erwägungen</w:t>
      </w:r>
    </w:p>
    <w:p>
      <w:r>
        <w:rPr>
          <w:b/>
        </w:rPr>
        <w:t>E. 9.1</w:t>
      </w:r>
    </w:p>
    <w:p>
      <w:r>
        <w:t>L'appelant conteste la peine. Il fait valoir que la quantité de drogue pure qui pourrait finalement être retenue à son encontre (soit 19,94 grammes de crystal méthamphétamine et 2,5 grammes de cocaïne) serait très proche, s’agissant du crystal méthamphétamine, du seuil minimal constituant le cas grave, de sorte que la sanction pour ce crime ne saurait excéder 12 mois. Il soutient ensuite qu’une peine d'ensemble de 4 ans ne serait adaptée que « dans l'éventualité où toutes les charges devaient être retenues et que cette sanction intègre la révocation du sursis octroyé selon le jugement du Tribunal correctionnel de l'arrondissement de l'Est vaudois du 1er juillet 2019 (quinze mois de peine privative de liberté) et de l’ordonnance du Ministère public de l'arrondissement du Nord vaudois du 22 août 2019 (trois mois) ». Compte tenu de l’acquittement plaidé sur un certain nombre de points en lien avec le trafic de stupéfiants, il considère que la sanction qui devrait lui être</w:t>
      </w:r>
    </w:p>
    <w:p>
      <w:r>
        <w:t>- 25 - infligée devrait être calculée comme suit : 12 mois pour l'infraction grave à la LStup ; plus 3 mois pour le vol de 3 vélos électriques ; plus 4 mois pour les délits à la LCR (deux conduites malgré retrait de permis et sous l'effet de stupéfiants et deux vols d'usage de cycles) ; plus 6 mois pour l'escroquerie par métier consistant en de nombreuses commandes de vêtements sur internet sous des noms et adresses diverses pour ne pas les payer. Quant à l'infraction à la LArm (détention de divers objets prohibés), elle ne devrait selon l’appelant être sanctionnée que d'une amende « compte tenu du caractère relativement bénin de telles infractions ». Au total, c’est ainsi une peine de 25 mois de privation de liberté qui pourrait réprimer l’ensemble des comportements, auxquels il conviendrait d’ajouter 18 mois pour tenir compter de la révocation des deux sursis. Selon l’appelant, on atteindrait ainsi un total de 43 mois qu’il faudrait toutefois ramener à 39 mois « pour procéder à une pondération d’ensemble » au sens de l’art. 49 CP.</w:t>
      </w:r>
    </w:p>
    <w:p>
      <w:r>
        <w:rPr>
          <w:b/>
        </w:rPr>
        <w:t>E. 9.2.1</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141 IV 61 consid. 6.1.1).</w:t>
      </w:r>
    </w:p>
    <w:p>
      <w:r>
        <w:rPr>
          <w:b/>
        </w:rPr>
        <w:t>E. 9.2.2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w:t>
      </w:r>
    </w:p>
    <w:p>
      <w:r>
        <w:t>- 26 -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1.1.2; ATF 127 IV 101 consid. 2b ; TF 6B_1175/2017 du 11 avril 2018 consid, 2.1 ; TF 6B_688/2014 du 22 décembre 2017 consid. 27.2.1).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 ATF 144 IV 217 consid. 2.2 ; ATF 138 IV 120 consid. 5.2). Si les sanctions envisagées concrètement ne sont pas du même genre, elles doivent être prononcées cumulativement (ATF 144 IV 313 consid. 1.1 ; ATF 142 IV 265 consid. 2.3.2 ; ATF 138 IV 120 consid. 5.2; ATF 137 IV 57 consid. 4.3.1). La peine privative de liberté et la peine pécuniaire ne sont pas des sanctions du même genre (ATF 144 IV 313 consid. 1.1; ATF 144 IV 217 consid. 2.2). Le juge amené à sanctionner des infractions commises antérieurement et postérieurement à un jugement précédent doit procéder en deux temps. Tout d'abord, il doit s'attacher aux infractions commises avant ledit jugement. Le juge doit examiner si, eu égard au</w:t>
      </w:r>
    </w:p>
    <w:p>
      <w:r>
        <w:t>- 27 - genre de peine envisagé, une application de l'art. 49 al. 2 CP entre en ligne de compte. Si tel est le cas, il doit fixer une peine complémentaire (Zusatzstrafe) à la peine de base (Grundstrafe) en tenant compte du principe de l'aggravation découlant de l'art. 49 al. 1 CP (ATF 145 IV 1 consid. 1.3 ; ATF 142 IV 265 précité ; TF 6B 144/2019 du 17 mai 2019 consid. 4.3.1)</w:t>
      </w:r>
    </w:p>
    <w:p>
      <w:r>
        <w:rPr>
          <w:b/>
        </w:rPr>
        <w:t>E. 9.2.3</w:t>
      </w:r>
    </w:p>
    <w:p>
      <w:r>
        <w:t>En vertu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w:t>
      </w:r>
    </w:p>
    <w:p>
      <w:r>
        <w:rPr>
          <w:b/>
        </w:rPr>
        <w:t>E. 9.3</w:t>
      </w:r>
    </w:p>
    <w:p>
      <w:r>
        <w:t>La culpabilité de X.________ est lourde. Depuis plusieurs années, et malgré ses condamnations précédentes (dont deux avec sursis prononcées successivement en juillet et août 2019), il a persisté non seulement à consommer des stupéfiants mais également à en vendre. A cela s’ajoute qu’il n’a cessé de multiplier les comportements délictueux, faisant fi des premières leçons qu’il aurait pu tirer de ses quatre précédentes condamnations, récidivant, non seulement en matière d’infraction à la LStup, mais également en matière d’infraction à la LCR et à la LArm et ajoutant à cela des escroqueries et des vols. Totalement imperméable aux sanctions et incapable de se remettre en cause, il a récidivé à plusieurs reprises en cours d’enquête, tantôt guidé par l’appât du gain facile, tantôt par la bêtise. En cours d’instruction, le prévenu n’a eu de cesse de minimiser les faits, de contester son implication ou de rejeter la responsabilité sur des tiers. A charge, on retiendra encore le concours d’infractions. Ne travaillant plus depuis un accident survenu lors d’une altercation avec son ex-amie en 2019, X.________ n’est, à presque 30 ans, toujours pas indépendant financièrement, bénéficiant du soutien de sa mère et/ou des services sociaux. A l’audience d’appel, il a plaidé avoir eu un début de prise de conscience depuis le jugement de première instance, puisqu’il aurait depuis lors entamé des démarches en vue de trouver un emploi, qu’il aurait mis un terme à sa consommation de</w:t>
      </w:r>
    </w:p>
    <w:p>
      <w:r>
        <w:t>- 28 - stupéfiants et qu’il aurait entrepris un traitement ambulatoire sur un mode volontaire auprès de l’UAT à Montreux. Ces éléments doivent toutefois être quelque peu relativisés, d’une part parce que les changements sont extrêmement récents – l’abstinence aux stupéfiants ne remontant qu’à deux mois au moment de l’audience d’appel – et, d’autre part, parce que les démarches en vue de retrouver un emploi n’ont pas encore abouti. Une peine privative de liberté s’impose pour réprimer l’ensemble des délits (infraction grave à la LStup, vol, escroquerie par métier, infraction à la LArm, conduite malgré une incapacité et violation de l’interdiction de conduire sous l’influence de l’alcool, vol d’usage et conduite sans autorisation). En effet, contrairement à ce qu’a fait plaider l’appelant, l’infraction à la LArm ne constitue pas un cas bénin, étant rappelé que l’appelant est un récidiviste qui a déjà été condamné à deux reprises pour ce motif, qu’il a reconnu les faits et qu’il savait que la détention des objets retrouvés en sa possession constituait une infraction. Une amende doit être prononcée pour sanctionner la contravention à la loi fédérale sur les stupéfiants. L’infraction abstraitement la plus grave est sans conteste l’infraction grave à la LStup. Avec l’appelant, il y a lieu d’admettre que les premiers juges n'ont pas expliqué en détail quelles quantités de stupéfiants ont finalement été retenues. Au bénéfice du doute, il sera retenu, conformément à ce qu’a fait plaider l’appelant, que l’on se trouve à la limite inférieure du cas grave de l’art. 19 al. 2 LStup. Toutefois, malgré cet élément, la quotité de la peine pour cette infraction ne saurait être arrêtée au minimum légal de douze mois. En effet, X.________ est un multirécidiviste en matière d’infraction à la LStup. C’est donc une peine de 15 mois qui devra être prononcée pour réprimer cette infraction. Par l’effet du concours, cette peine doit être augmentée de 6 mois pour l'escroquerie par métier. Au vu des antécédents de l’appelant en la matière, c’est une aggravation de 7 mois qui devra être prononcée pour les diverses infractions à la LCR – soit 3 mois pour chacune des conduites en état d’incapacité et 1 mois pour le vol d’usage –, ainsi qu’une aggravation supplémentaire d’un mois pour les infractions à la LArm. Enfin, il convient</w:t>
      </w:r>
    </w:p>
    <w:p>
      <w:r>
        <w:t>- 29 - d’ajouter 3 mois pour les trois vols de vélos électriques, qui sont antérieurs à la condamnation du 22 août 2019 et qui aurait justifié une peine sensiblement supérieure à la peine privative de liberté de trois mois alors prononcée si le juge avait eu connaissance des vols commis antérieurement par le prévenu. La peine sanctionnant uniquement les comportements à juger dans le cadre de la présente cause doit donc être arrêtée à 32 mois (15 + 6 + 7 + 1 + 3). Il convient encore de tenir compte des 18 mois de peine privative de liberté résultant de la révocation – non contestée au stade de l’appel – des sursis octroyés à X.________ les 1er juillet 2019 par jugement du Tribunal correctionnel de l'arrondissement de l'Est vaudois et portant sur une peine privative de liberté de quinze mois, ainsi que le 22 août 2019 par le Ministère public de l'arrondissement du Nord vaudois portant sur une peine privative de liberté de trois mois. Au vu de ce qui précède, c’est une peine privative de liberté d’ensemble de 50 mois qui aurait dû être infligée à l’appelant, peine partiellement complémentaire à celle prononcée le 22 août 2019 par le Ministère public de l’arrondissement du Nord vaudois. Dans la mesure où la quotité de la sanction prononcée par le Tribunal correctionnel ne peut pas être augmentée sous peine de violer le principe de l’interdiction de la reformatio in pejus, la peine privative de liberté d’ensemble de 48 mois prononcée par les premiers juges doit être confirmée.</w:t>
      </w:r>
    </w:p>
    <w:p>
      <w:r>
        <w:rPr>
          <w:b/>
        </w:rPr>
        <w:t>E. 10</w:t>
      </w:r>
    </w:p>
    <w:p>
      <w:r>
        <w:t>Au vu de ce qui précède, l’appel doit être rejeté et le jugement entrepris confirmé. Le défenseur d’office de X.________ a produit en audience une liste d’opérations faisant état de 15 heures d’activité d’avocat, dont il n’y a pas lieu de s’écarter sous réserve du temps consacré à l’audience d’appel, estimé à une heure et demie, et qu’il y a lieu de ramener à une heure. C’est donc une indemnité d’un montant total de 2'996 fr. 45, correspondant à 14h30 d’activité d’avocat breveté au tarif horaire de 180</w:t>
      </w:r>
    </w:p>
    <w:p>
      <w:r>
        <w:t>- 30 - fr., soit 2’610 fr., plus une vacation à 120 fr., 52 fr. 20 de débours forfaitaires et 214 fr. 25 de TVA (cf. art. 2 al. 1 RAJ [règlement sur l'assistance judiciaire en matière civile du 7 décembre 2010 ; BLV 211.02.3] ; ATF 137 III 185]), qui doit être allouée à Me David Métille pour la procédure d’appel. Vu l’issue de la cause, les frais de la procédure d’appel, par 5'926 fr. 45, constitués des émoluments de jugement et d’audience (art. 21 al. 1 et 2 TFIP), par 2’930 fr., ainsi que de l’indemnité d’office précitée, seront mis à la charge de X.________, qui succombe (art. 428 al. 1 CPP). Le prénommé ne sera tenu de rembourser à l’Etat l’indemnité allouée à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