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PE19.021069 vom 4. September 2020</w:t>
      </w:r>
    </w:p>
    <w:p>
      <w:r>
        <w:t>VD Tribunal cantonal, 2020-09-04, FR</w:t>
      </w:r>
    </w:p>
    <w:p>
      <w:r>
        <w:rPr>
          <w:b/>
        </w:rPr>
        <w:t xml:space="preserve">Quelle: </w:t>
      </w:r>
      <w:r>
        <w:t>https://mcp.opencaselaw.ch/entscheid/vd_gerichte_PE19.021069</w:t>
      </w:r>
    </w:p>
    <w:p>
      <w:r>
        <w:t>FR: VD_GERICHTE PE19.021069 du 4 septembre 2020</w:t>
      </w:r>
    </w:p>
    <w:p>
      <w:r>
        <w:t>IT: VD_GERICHTE PE19.021069 del 4 settembre 2020</w:t>
      </w:r>
    </w:p>
    <w:p>
      <w:pPr>
        <w:pStyle w:val="Heading2"/>
      </w:pPr>
      <w:r>
        <w:t>Erwägungen</w:t>
      </w:r>
    </w:p>
    <w:p>
      <w:r>
        <w:rPr>
          <w:b/>
        </w:rPr>
        <w:t>E. 13</w:t>
      </w:r>
    </w:p>
    <w:p>
      <w:r>
        <w:t>février 2019, R. 2) – dont le 90 % (soit 2'700 g) auprès de l’appelant (R. 6) – ainsi que 200 g, seul, auprès de [...] (R. 4). Entendu le 1er mars 2019, il a en revanche estimé n’avoir acquis que 1'800 g de cocaïne en compagnie de Z.________, dont 720 g pour son propre compte et celui de son épouse (PV aud. VS du 1er mars 2019, R. 2). Le 27 mars 2019, il a d’abord confirmé avoir acquis 1'800 g de cocaïne en compagnie de Z.________ (PV aud. VS du 27 mars 2019, R. 2) avant d’également « confirmer » avoir acquis 340 g de cocaïne auprès de [...], 20 g auprès d’un dealer d’Aigle et 1'440 g auprès de l’appelant (PV aud. VS du 27 mars 2019, R. 5). Plus loin, il va encore admettre avoir acquis 1'800 g de cocaïne, essentiellement en compagnie de Z.________, en avoir réservé</w:t>
      </w:r>
    </w:p>
    <w:p>
      <w:r>
        <w:t>- 24 - 720 g à sa consommation et échangé 20 g, le solde - soit 1'060 g - ayant été écoulé par les soins de Z.________ (R.11 ; PV aud. VS du 9 juillet 2019, R. 13). Lors de son audition devant la procureure vaudoise, il a déclaré avoir acquis 720 g de cocaïne pour sa consommation et celle de son épouse en précisant qu’une partie de celle-ci - soit environ 200 g - lui avait été fournie par « [...] » et qu’il avait acquis le solde, soit directement auprès de l’appelant, soit par l’intermédiaire de Z.________. U.________ va finir par indiquer qu’il pensait avoir acquis 200 à 250 g de cocaïne en tout auprès de l’appelant (PV aud. 7, l. 33 ss). Entendu aux débats de première instance, U.________ a confirmé avoir acheté un total de 720 g, ainsi que tous les faits « que vous me citez, tirés de mes déclarations », sans qu’on ne puisse déterminer lesquels (jugt, p. 9). Autant dire que l’intéressé n’a lui aussi pas fourni des indications précises et constantes au sujet des quantités de cocaïne acquises auprès de l’appelant. Il s'ensuit que si les déclarations de Z.________ et d'U.________ permettent sans doute de retenir que l’appelant leur a vendu des quantités importantes de cocaïne, elles ne sont pas suffisamment fiables pour établir l’exactitude des quantités mentionnées sous les chiffres 1.1 et 1.5 de l’acte d’accusation. Lors de son audition par les autorités valaisannes du 26 juin 2019, l'appelant a toutefois reconnu qu’il avait vendu à Z.________ et U.________ 500 g de cocaïne pour un montant de 42'500 à 45'000 fr. (85 fr. à 90 fr. le gramme) en 2017, 730 g en 2018 pour un montant de 62'050 fr. à 65'700 fr. et qu’il avait encore remis 16,6 g de cocaïne à U.________ pour un montant de 1'240 fr. en 2019 (PV aud. VS du 26 juin 2019, R. 1). L’appelant est certes revenu sur ces quantités lors de ses auditions ultérieures (PV aud. 1 et surtout PV aud. 10) en laissant notamment entendre qu’il aurait eu besoin d’un interprète lors de son audition de police ce qui n’est toutefois pas crédible dans la mesure où il a toujours été assisté d’un conseil et qu’aucune requête n’a été formulée dans ce sens. La Cour s'en tiendra donc aux quantités reconnues par l'appelant le 26 juin 2019. En définitive, il convient de retenir, pour les cas 1.1 et 1.5 de l'acte d'accusation, la vente de 1'246,6 de cocaïne brute, soit l’équivalent</w:t>
      </w:r>
    </w:p>
    <w:p>
      <w:r>
        <w:t>- 25 - de 640,13 g de cocaïne pure (500 g à 46 % pour 2017, 730 g. à 55 % pour 2018 et 16,6 g à 52 % pour 2019, taux de pureté moyens de la cocaïne les plus favorables au prévenu pour des quantités de 1 à 10 g brut), pour un chiffre d'affaire de 105'790 fr. à 111'940 francs. 3.3.3 Il résulte de ce qui précède que le trafic global d'A.________ a porté sur une quantité d'au minimum 3'735,4 g de cocaïne brute et 315 g de cocaïne nette, soit l’équivalent de 1'981,73 g de cocaïne pure, pour un chiffre d’affaire de minimum 362'190 francs (29'500 fr. + 226'900 fr. + 105'790 fr.). 4. Les qualifications juridiques retenues par les premiers ne sont pas contestées ni remises en cause par l'admission partielle de l'appel sur les faits. Elles doivent dès lors être confirmées. 5. 5.1 L’appelant conteste la quotité de la peine de 7 ans et 6 mois prononcée à son encontre. Il fait valoir qu’une partie des faits retenus doit être abandonnée et que des éléments à décharge, soit sa situation personnelle et son bon comportement en détention, bien que mentionnés dans la motivation, n’ont pas été pris en considération. 5.2 5.2.1 Selon l’art. 47 CP (Code pénal suisse du 21 décembre 1937 ; RS 311.0), également applicable en matière d’infractions à la loi fédérale sur les stupéfiants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- 26 -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w:t>
      </w:r>
    </w:p>
    <w:p>
      <w:r>
        <w:t>- 27 - 6B_1192/2018 du 23 janvier 2019 consid. 1.1; TF 6B_780/2018 du 9 octobre 2018 consid. 2.1). 5.2.2 Aux termes de l'art. 49 al. 1 CP, si, en raison d'un ou de plusieurs actes, l'auteur remplit les conditions de plusieurs peines de même genre, le juge le condamne à la peine de l'infraction la plus grave et l'augmente dans une juste proportion. Il ne peut toutefois excéder de plus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5.2.3 Si le juge doit prononcer une condamnation pour une infraction que l'auteur a commise avant d'avoir été condamné pour une autre</w:t>
      </w:r>
    </w:p>
    <w:p>
      <w:r>
        <w:t>- 28 -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 cit.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 Selon une récente jurisprudence du Tribunal fédéral, lorsqu'un tribunal doit juger des actes constitutifs d'une infraction commise par métier, dont certains sont antérieurs et d'autres postérieurs à une précédente condamnation, il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w:t>
      </w:r>
    </w:p>
    <w:p>
      <w:r>
        <w:t>- 29 - ne trouve pas application. Notre Haute cour a justifié cette solution en relevant que l'art. 49 CP ne permettait pas au juge, en cas de concours réel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Le Tribunal fédéral en a conclu qu'en matière de fixation de la peine, il convenait de regarder une infraction d'escroquerie par métier comme un tout (ATF 145 IV 377 consid. 2.3.3). La Cour de céans estime que la jurisprudence susmentionnée doit également s'appliquer lorsqu'il s'agit de juger des infractions à la loi fédérale sur les stupéfiants pour lesquelles l'ensemble des quantités découlant des diverses transactions reprochées à un prévenu est additionnée, notamment pour déterminer si l’on se trouve en présence d'un cas grave au sens de l'art. 19 al. 2 let. a LStup (ATF 112 IV 109 consid. 2b). On ne saurait en effet considérer que la qualification d'infraction grave puisse être remise en cause au motif qu'une partie des transactions a eu lieu avant une précédente condamnation. Il faut en conclure qu’en matière de fixation de la peine, une infraction grave à la LStup doit également être considérée comme un tout et que l'art. 49 al. 2 CP ne s'applique pas (CAPE 18 mai 2020/193). 5.3 En l’espèce, la culpabilité de l’appelant est très lourde. S’il est vrai qu’il doit en définitive être condamné pour avoir écoulé une quantité de stupéfiants moins importante que celle retenue par les premiers juges, il a tout de même mis sur le marché une quantité de cocaïne pure correspondant à près de 110 fois le cas grave. Son trafic était très bien organisé : il savait où et comment s’approvisionner, disposait d’une clientèle régulière et n’hésitait pas à recourir aux services de tiers, à l’instar son amie ou d'O.________, lorsque cela s’avérait nécessaire. Il pouvait par ailleurs se procurer de la marchandise de très bonne qualité,</w:t>
      </w:r>
    </w:p>
    <w:p>
      <w:r>
        <w:t>- 30 - comme le démontre le taux de pureté important des stupéfiants saisis (83 %). Son activité s’est en outre étendue sur une longue période et lui a permis de réaliser des revenus importants, qu’il a du reste pris le soin de faire disparaître en partie en les transférant à l’étranger. Il ressort de tout ce qui précède que l’appelant a agi comme un véritable professionnel. N’étant lui-même qu’un consommateur festif, on retiendra que l’appelant n’a agi que par pur appât du gain et sans la moindre considération pour la santé des consommateurs qu’il approvisionnait. Seule son arrestation a permis de mettre un terme à son trafic. En cherchant systématiquement à minimiser son implication et en revenant régulièrement sur ses précédentes déclarations, l’appelant a par ailleurs démontré qu’il n’avait toujours pas pris la pleine mesure de la gravité de ses actes. Il a également illustré son parfait mépris de l’ordre juridique en demeurant en Suisse alors qu’il savait pertinemment qu’il lui était interdit d’y séjourner. A charge, il y a lieu de retenir les antécédents de l’appelant. A décharge, on ne voit guère qu’une situation personnelle difficile liée à son statut de requérant débouté. Le bon comportement en prison n’a en revanche aucun effet atténuant. Cela étant, et dans la mesure où avant les faits, l’appelant avait déjà été condamné à deux reprises à des peines pécuniaires sans que cela ne suffise à le dissuader de commettre des infractions, une peine privative de liberté s’impose pour sanctionner les crimes et délits commis. Une amende doit en revanche sanctionner la contravention à la loi fédérale sur les stupéfiants. Une partie des faits ont été commis avant l’ordonnance pénale rendue par le Ministère public de l’Est vaudois le 29 juin 2018 qui a condamné l’appelant à une peine privative de liberté de 180 jours ainsi qu’à une amende de 300 fr. pour entrée illégale, séjour illégal, délit et contravention à la loi fédérale sur les stupéfiants. Les peines sont du même genre.</w:t>
      </w:r>
    </w:p>
    <w:p>
      <w:r>
        <w:t>- 31 - La période antérieure au 29 juin 2018 concerne l’infraction à la loi fédérale sur les étrangers et l'intégration du 28 avril 2018 au 29 juin 2018 (cas 3 de l'acte d'accusation). Faute de pouvoir être plus précis, on admettra qu’elle concerne également les 2/3 du blanchiment (cas 2 de l'acte d'accusation) et les 2/3 de la contravention à la loi fédérale sur les stupéfiants (cas 4 de l'acte d'accusation). Si ces faits avaient été connus par les autorités pénales le 29 juin 2018, ils auraient conduit à une sanction complémentaire de 4 mois de peine privative de liberté pour le blanchiment, de 10 jours de peine privative de liberté pour l’infraction à la loi fédérale sur les étrangers et l'intégration et de 200 fr. d’amende pour la contravention à la loi fédérale sur les stupéfiants. S’agissant de la période postérieure à l’ordonnance du 29 juin 2018, l'infraction la plus grave est celle à la loi fédérale sur les stupéfiants (cas 1 de l'acte d'accusation) laquelle doit être traitée comme un tout. Elle doit, au vu des éléments évoqués ci-dessus, être sanctionnée d'une peine privative de liberté de 6 ans. Par l'effet du concours, cette peine doit être augmentée de 2 mois, respectivement de 30 jours supplémentaires, pour sanctionner le blanchiment d’argent et l'infraction à la loi fédérale sur les étrangers et l'intégration postérieurs au 29 juin 2018. L'amende qu'impose la contravention à la loi fédérale sur les stupéfiants postérieure à cette date sera quant à elle fixée à 100 francs. Compte tenu de ce qui précède, il convient de prononcer une peine privative de liberté d’ensemble de 6 ans, 7 mois et 10 jours, ainsi qu’une amende de 300 fr. à l'encontre d'A.________. 6. 6.1 Lors des débats d'appel, le Ministère public a requis l'inscription de la mesure d'expulsion prononcée contre l'appelant dans le Registre du Système d'information Schengen (SIS). Il a soutenu que le juge qui prononce une mesure d'expulsion serait tenu d'examiner d'office cette inscription, ce qui aurait été omis en l'espèce en première instance. 6.2</w:t>
      </w:r>
    </w:p>
    <w:p>
      <w:r>
        <w:t>- 32 - 6.2.1 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doit être ordonnée conformément aux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w:t>
      </w:r>
    </w:p>
    <w:p>
      <w:r>
        <w:t>- 33 -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ancré dans l'art. 21 du règlement (UE) 2018/1861, que si l'opportunité, la pertinence et l'importance de l'affaire le justifient. Si les exigences posées aux art. 21 et 24 al. 1 et 2 du règlement sont remplies, il existe une obligation d’inscription dans le Registre SIS (cf. TF 6B_572/2019 du 8 avril 2020 consid. 3.2, spéc. 3.2.2, concernant l’ancien règlement (CE) 1987/2006 du Parlement européen et du Conseil du 20 décembre 2006 relatif à l'établissement, le fonctionnement et l'utilisation du système d'information Schengen de deuxième génération). Le nouveau règlement (UE) 2018/1861, appliqué provisoirement par la Suisse depuis le 28 décembre 2019 (RS 0.362.380.085), reprend en substance les mêmes principes et conditions d’inscription que l’ancien règlement à son art. 24 al. 1 et 2, de sorte que la jurisprudence précitée demeure d’actualité (CAPE 17 juillet 2020/312). 6.2.2 Selon un arrêt récent du Tribunal fédéral, le signalement de l'expulsion dans le SIS - comme l'expulsion elle-même - n'est pas soumis au principe d'accusation.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et obligatoirement mentionner dans le dispositif du jugement pénal si le signalement doit être effectué ou s'il y est renoncé (ATF 146 IV 172 consid. 3.2.5). Le signalement de l'expulsion dans le SIS relève du droit d'exécution, respectivement du droit de police. Dans la procédure d'appel, l'interdiction de la reformatio in pejus n'est pas applicable au signalement de l'expulsion, du moins lorsque la question n'a pas été traitée dans la procédure de première instance (ATF 146 IV 172 consid. 3.3).</w:t>
      </w:r>
    </w:p>
    <w:p>
      <w:r>
        <w:t>- 34 - 6.3 En l’occurrence, A.________ a été condamné pour un crime grave à une peine privative de liberté de plus de six ans, ainsi qu’à son expulsion du territoire suisse pour une durée de 15 ans. Les premiers juges ont considéré, au terme d’une évaluation individuelle comprenant une appréciation de la situation personnelle de l’intéressé et des conséquences que la mesure d’expulsion est susceptible d’avoir sur sa situation, qu’il représente une menace pour l’ordre public et la sécurité publique, menace considérée comme étant supérieure à son intérêt personnel à demeurer en Suisse. Les conditions figurant à l’art. 24 al. 1 et 2 du règlement (UE) 2018/1861 sont ainsi réunies. Dès lors que les conditions de l’inscription de la mesure d’expulsion du territoire suisse d'A.________ au Registre SIS sont réunies, que celle-ci apparaît nécessaire et est proportionnée, celle-ci sera ordonnée, comme le requiert le Ministère public. 7. En définitive, l'appel d'A.________ doit être partiellement admis et le jugement du 4 septembre 2020 réformé dans le sens des considérants qui précèdent. Conformément à l’art. 51 CP, la détention subie par l’appelant depuis le jugement de première instance sera déduite de la peine infligée et son maintien en exécution anticipée de peine ordonné, compte tenu notamment du risque de fuite manifeste qu'il présente. Le défenseur d’office d'A.________ a produit à l’audience une liste d’opérations dont il n’y a pas lieu de s’écarter. C’est ainsi une indemnité de 2'046 fr. 95 correspondant à 8 heures et 30 minutes au tarif horaire de 180 fr., à 2% de débours forfaitaires, par 30 fr. 60, à 340 fr. de vacations et à 146 fr. 35 de TVA à 7,7%, qui sera allouée à Me Philippe Girod pour la procédure d’appel. Vu l’issue de la cause, les frais de la procédure d’appel, par 5'716 fr. 95, constitués des émoluments de jugement et d’audience (art. 21 al. 1 et</w:t>
      </w:r>
    </w:p>
    <w:p>
      <w:r>
        <w:t>- 35 - 2 TFIP [tarif des frais de procédure et indemnités en matière pénale du 28 septembre 2010; BLV 312.03.1]), par 3'670 fr., ainsi que de l’indemnité allouée au défenseur d’office d'A.________, par 2'046 fr. 95, seront mis par deux tiers à la charge de l'appelant, qui succombe partiellement (art. 428 al. 1 CPP), le solde étant laissé à la charge de l'Etat. A.________ ne sera tenu de rembourser à l'Etat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