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PE19.020657 vom 8. April 2021</w:t>
      </w:r>
    </w:p>
    <w:p>
      <w:r>
        <w:t>VD Tribunal cantonal, 2021-04-08, FR</w:t>
      </w:r>
    </w:p>
    <w:p>
      <w:r>
        <w:rPr>
          <w:b/>
        </w:rPr>
        <w:t xml:space="preserve">Quelle: </w:t>
      </w:r>
      <w:r>
        <w:t>https://mcp.opencaselaw.ch/entscheid/vd_gerichte_PE19.020657</w:t>
      </w:r>
    </w:p>
    <w:p>
      <w:r>
        <w:t>FR: VD_GERICHTE PE19.020657 du 8 avril 2021</w:t>
      </w:r>
    </w:p>
    <w:p>
      <w:r>
        <w:t>IT: VD_GERICHTE PE19.020657 del 8 aprile 2021</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w:t>
      </w:r>
    </w:p>
    <w:p>
      <w:r>
        <w:t>- 6 - Strafprozessordnung, 2e éd., Zurich/Bâle/Genève 2014, n. 2 ad art. 385 CPP). Ainsi, il doit indiquer dans quelle mesure et sous quel angle il entend critiquer l’établissement des faits ou l’application du droit (Calame, in: Kuhn/Jeanneret/Perrier Depeursinge [éd.], Commentaire romand, Code de procédure pénale suisse,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w:t>
      </w:r>
    </w:p>
    <w:p>
      <w:r>
        <w:rPr>
          <w:b/>
        </w:rPr>
        <w:t>E. 1.2.2</w:t>
      </w:r>
    </w:p>
    <w:p>
      <w:r>
        <w:t>En l’espèce, la recourante se contente d’alléguer un certain nombre de faits avec des offres de preuve. Il n’y a toutefois aucun exposé, même succinct, qui s’en prenne à la motivation de l’ordonnance attaquée. Autrement dit, la recourante n’explique pas en quoi, selon elle, les motifs sur lesquels le Ministère public a fondé sa décision seraient erronés ou en quoi ils ne devraient pas conduire à la reddition d’une ordonnance de non- entrée en matière. Le recours ne satisfait dès lors pas aux exigences de motivation de l’art. 385 CPP.</w:t>
      </w:r>
    </w:p>
    <w:p>
      <w:r>
        <w:rPr>
          <w:b/>
        </w:rPr>
        <w:t>E. 2</w:t>
      </w:r>
    </w:p>
    <w:p>
      <w:r>
        <w:t>Au vu de ce qui précède, le recours doit être déclaré irrecevable.</w:t>
      </w:r>
    </w:p>
    <w:p>
      <w:r>
        <w:t>- 7 - Les frais de la procédure de recours, constitués en l’espèce du seul émolument d’arrêt (art. 422 al. 1 CPP), par 770 fr. (art. 20 al. 1 TFIP [Tarif des frais de procédure et indemnités en matière pénale du 28 septembre 2010 ; BLV 312.03.1]), seront mis à la charge de la recourante, qui doit être considérée comme ayant succombé (art. 428 al. 1 CPP). Le montant de 550 fr. déjà versé par la recourante à titre de sûretés sera imputé sur ces frais (art. 7 TFIP). Par ces motifs, la Chambre des recours pénale prononce : I. Le recours est irrecevable. II. Les frais d’arrêt, par 770 fr. (sept cent septante francs), sont mis à la charge de N.________. III. Le montant de 550 fr. (cinq cent cinquante francs) déjà versé par la recourante à titre de sûretés est imputé sur les frais mis à sa charge au chiffre II ci-dessus. IV. L’arrêt est exécutoire. Le président : La greffière : Du Le présent arrêt, dont la rédaction a été approuvée à huis clos, est notifié, par l'envoi d'une copie complète, à : - Mme N.________, - M. J.________, - Mme I.________, - M. E.________,</w:t>
      </w:r>
    </w:p>
    <w:p>
      <w:r>
        <w:t>- 8 -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