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PE19.020273 vom 10. Juli 2020</w:t>
      </w:r>
    </w:p>
    <w:p>
      <w:r>
        <w:t>VD Tribunal cantonal, 2020-07-10, FR</w:t>
      </w:r>
    </w:p>
    <w:p>
      <w:r>
        <w:rPr>
          <w:b/>
        </w:rPr>
        <w:t xml:space="preserve">Quelle: </w:t>
      </w:r>
      <w:r>
        <w:t>https://mcp.opencaselaw.ch/entscheid/vd_gerichte_PE19.020273</w:t>
      </w:r>
    </w:p>
    <w:p>
      <w:r>
        <w:t>FR: VD_GERICHTE PE19.020273 du 10 juillet 2020</w:t>
      </w:r>
    </w:p>
    <w:p>
      <w:r>
        <w:t>IT: VD_GERICHTE PE19.020273 del 10 luglio 2020</w:t>
      </w:r>
    </w:p>
    <w:p>
      <w:pPr>
        <w:pStyle w:val="Heading2"/>
      </w:pPr>
      <w:r>
        <w:t>Erwägungen</w:t>
      </w:r>
    </w:p>
    <w:p>
      <w:r>
        <w:rPr>
          <w:b/>
        </w:rPr>
        <w:t>E. 4.1</w:t>
      </w:r>
    </w:p>
    <w:p>
      <w:r>
        <w:t>L’appelant conteste la réalisation de l’infraction de menaces. Il soutient que son geste, consistant à brandir un couteau dans la direction de l’intimé, ne pouvait pas effrayer objectivement son destinataire, policier de métier, dès lors que lui-même avait continué sa route et n’avait aucun moyen de connaître l’identité et l’adresse de son antagoniste, le canton de Vaud étant restrictif pour divulguer l’identité d’un détenteur de plaques minéralogiques.</w:t>
      </w:r>
    </w:p>
    <w:p>
      <w:r>
        <w:rPr>
          <w:b/>
        </w:rPr>
        <w:t>E. 4.2</w:t>
      </w:r>
    </w:p>
    <w:p>
      <w:r>
        <w:t>Selon l'art. 180 al. 1 CP (Code pénal suisse du 21 décembre 1937 ; RS 311.0), se rend coupable de menaces celui qui, par une menace grave, aura alarmé ou effrayé une personne.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réalisation d’un dommage doit cependant être présentée par l’auteur comme un événement dépendant, directement ou indirectement, de sa volonté (Dupuis et al. [éd.], Petit Commentaire du Code pénal, 2e éd., Bâle 2017, n. 7 ad art. 180 CP).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Les menaces de lésions corporelles graves ou de mort doivent être considérées comme des menaces graves au sens de l'art. 180 CP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w:t>
      </w:r>
    </w:p>
    <w:p>
      <w:r>
        <w:t>- 19 -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3e éd., Berne 2010, n. 8 ad art. 180 CP). Subjectivement, l'auteur doit avoir l'intention non seulement de proférer des menaces graves, mais aussi d'alarmer ou d'effrayer le destinataire. Le dol éventuel suffit (TF 6B_787/2018 du 1er octobre 2018 consid. 3.1 ; TF 6B_1009/2014 du 2 avril 2015 consid. 3.1).</w:t>
      </w:r>
    </w:p>
    <w:p>
      <w:r>
        <w:rPr>
          <w:b/>
        </w:rPr>
        <w:t>E. 4.3</w:t>
      </w:r>
    </w:p>
    <w:p>
      <w:r>
        <w:t>En l’espèce, l’appelant ne conteste pas avoir brandi un couteau, lame ouverte, en direction de l’intimé. Lors de sa première audition devant la police, il a expliqué avoir fait ce geste pour montrer à W.________ qu’il voulait « lui couper le doigt à la suite de son doigt d’honneur » (PV aud. 1, R. 17). Entendu ensuite par le Ministère public, il a admis qu’il voulait lui faire peur (PV aud. 3, l. 92) et a précisé avoir renoncé à le suivre en voyant sa fille, qu’il ne voulait pas « terroriser plus » (PV aud. 3, ll. 37 à 39). Dans le cas d’espèce, la question de savoir si l’appelant a mimé un geste d’égorgement peut rester ouverte, dans la mesure où C.________ a admis avoir brandi le couteau dans le but de faire peur à l’intimé et que celui-ci a effectivement été effrayé. A cet égard, contrairement à ce que soutient l’appelant, force est de constater que n’importe qui serait raisonnablement effrayé par un conducteur assez colérique pour menacer au couteau un autre conducteur pour un différend routier. Quand bien même le prévenu prétend avoir été « agacé » par le fait que l’intimé abusait de la voie de gauche avant de lui faire un doigt d’honneur en se rabattant sur la voie de droite pour le laisser dépasser,</w:t>
      </w:r>
    </w:p>
    <w:p>
      <w:r>
        <w:t>- 20 - brandir un couteau dans la direction d’un autre automobiliste est un geste qui reflète bien plus qu’un simple agacement et qui est objectivement de nature à effrayer toute personne, policier ou pas, en lui faisant redouter d’être suivi. En effet, contrairement à ce que soutient l’appelant, il ne lui était absolument pas nécessaire d’obtenir des informations sur l’identité ou l’adresse de l’intimé pour suivre celui-ci et poursuivre l’affrontement. Lors de son audition par le Ministère public, W.________ a déclaré avoir été effrayé par le comportement général de l’appelant et a précisé sortir armé depuis lors (PV aud. 2, ll. 63 à 66). Il y a lieu de relever que l’appelant cherchait du reste précisément à effrayer l’intimé en brandissant son couteau dans sa direction, comme il l’a lui-même admis devant le Ministère public (PV aud. 3, l. 92). Il s’ensuit que le comportement de l’appelant réalise tous les éléments constitutifs de l’infraction de menaces. Ce moyen doit dès lors être rejeté et la condamnation de l’appelant pour menaces confirmée.</w:t>
      </w:r>
    </w:p>
    <w:p>
      <w:r>
        <w:rPr>
          <w:b/>
        </w:rPr>
        <w:t>E. 5.1</w:t>
      </w:r>
    </w:p>
    <w:p>
      <w:r>
        <w:t>L’appelant ne conteste pas juridiquement, mais uniquement factuellement, la réalisation des infractions de violation grave des règles de la circulation routière et d’injure. L’état de fait ayant été précisé, il y a dès lors lieu d’examiner si ces infractions demeurent réalisées.</w:t>
      </w:r>
    </w:p>
    <w:p>
      <w:r>
        <w:rPr>
          <w:b/>
        </w:rPr>
        <w:t>E. 5.2.1</w:t>
      </w:r>
    </w:p>
    <w:p>
      <w:r>
        <w:t>Conformément à l'art. 90 LCR (Loi fédérale sur la circulation routière du 19 décembre 1958 ; RS 741.01),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w:t>
      </w:r>
    </w:p>
    <w:p>
      <w:r>
        <w:t>- 21 -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Plus la violation de la règle de la circulation est objectivement grave, plus on admettra l'existence d'une absence de scrupule, sauf indice particulier permettant de retenir le contraire (ATF 142 IV 93 précité).</w:t>
      </w:r>
    </w:p>
    <w:p>
      <w:r>
        <w:rPr>
          <w:b/>
        </w:rPr>
        <w:t>E. 5.2.2</w:t>
      </w:r>
    </w:p>
    <w:p>
      <w:r>
        <w:t>En l’espèce, la Cour de céans retient que l’appelant a accéléré pour empêcher l’intimé de le dépasser et qu’il a franchi une ligne de sécurité. A cet égard, force est de constater qu’en restant à la hauteur d’un autre véhicule qui tentait de le dépasser afin de gêner sa manœuvre, à une vitesse située entre 90 et 120 km/h sur une autoroute « surchargée » comme l’a lui-même décrite l’appelant (PV aud. 1, R. 20), celui-ci a volontairement gravement contrevenu aux règles de la circulation par la création d’un danger abstrait accru pour la sécurité d’autrui. Par ailleurs, si le franchissement d’une ligne de sécurité ne constitue pas nécessairement à lui seul une faute grave, il y a lieu de constater que le comportement routier global de l’appelant, par</w:t>
      </w:r>
    </w:p>
    <w:p>
      <w:r>
        <w:t>- 22 - l'accumulation de ces fautes successives, est constitutif d’une violation grave des règles de la circulation, ce d'autant plus que ces manœuvres dangereuses ont eu lieu sur une autoroute où de grandes vitesses sont pratiquées et à un moment où le trafic était dense, situation qui exige au contraire de tous les usagers une plus grande discipline et des égards redoublés (TF 6B_720/2007 du 29 mars 2008 consid. 4). Du point de vue subjectif, le comportement de l’appelant dénote un manque d'égards pour autrui et une absence de scrupules. Les faits retenus constituent donc objectivement et subjectivement une violation grave des règles de la circulation routière. La condamnation de l’appelant pour violation grave des règles de la circulation routière doit donc être confirmée.</w:t>
      </w:r>
    </w:p>
    <w:p>
      <w:r>
        <w:rPr>
          <w:b/>
        </w:rPr>
        <w:t>E. 5.3.1</w:t>
      </w:r>
    </w:p>
    <w:p>
      <w:r>
        <w:t>Selon l'art. 177 CP, celui qui, de toute autre manière que par celles visées aux dispositions précédentes,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Conformément à l’art. 177 al. 3 CP,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partiellement reconstitués, doivent être renvoyés dos à dos (Corboz, op. cit., n. 35 ad art. 177 CP).</w:t>
      </w:r>
    </w:p>
    <w:p>
      <w:r>
        <w:t>- 23 -</w:t>
      </w:r>
    </w:p>
    <w:p>
      <w:r>
        <w:rPr>
          <w:b/>
        </w:rPr>
        <w:t>E. 5.3.2</w:t>
      </w:r>
    </w:p>
    <w:p>
      <w:r>
        <w:t>En l’espèce, la Cour de céans retient que l’appelant a adressé un doigt d’honneur à l’intimé et qu’il a traité celui-ci de « fils de pute ». Il doit toutefois être relevé que ce geste a été accompli, et ces paroles prononcées, après que l’intimé a lui-même adressé un doigt d’honneur à l’appelant. A cet égard, l’appelant a expliqué avoir été « profondément agacé » par le fait que l’intimé abusait de la voie de gauche et surtout « énervé » par le fait qu’il lui ait adressé un doigt d’honneur en se rabattant pour le laisser dépasser. L’intimé a admis avoir fait un doigt d’honneur à l’appelant, lequel n’a toutefois pas déposé plainte à son encontre pour ces faits. Au vu de ce qui précède, il y a lieu de retenir qu’en adressant un doigt d’honneur à l’intimé et en le traitant de « fils de pute », C.________ s’est bien rendu coupable d’injure, mais qu’il a immédiatement riposté à l’atteinte portée peu avant à son honneur par W.________, de sorte qu’il doit être fait application de l’art. 177 al. 3 CP en faveur de l’appelant s’agissant de ces faits.</w:t>
      </w:r>
    </w:p>
    <w:p>
      <w:r>
        <w:rPr>
          <w:b/>
        </w:rPr>
        <w:t>E. 6.1</w:t>
      </w:r>
    </w:p>
    <w:p>
      <w:r>
        <w:t>L’appelant, qui conclut à son acquittement, ne conteste pas la peine en tant que telle. Celle-ci doit toutefois être examinée d’office au regard des impératifs de motivation et des principes prévalant en matière de fixation des peines.</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- 24 -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6B_1463/2019 du 20 février 2020 consid. 2.1.1).</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w:t>
      </w:r>
    </w:p>
    <w:p>
      <w:r>
        <w:t>- 25 - 313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6.2.3</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w:t>
      </w:r>
    </w:p>
    <w:p>
      <w:r>
        <w:t>- 26 - caractère du prévenu et ses chances d'amendement (ATF 134 IV 1 précité consid. 4.2.1).</w:t>
      </w:r>
    </w:p>
    <w:p>
      <w:r>
        <w:rPr>
          <w:b/>
        </w:rPr>
        <w:t>E. 6.2.4</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6.3</w:t>
      </w:r>
    </w:p>
    <w:p>
      <w:r>
        <w:t>En l’espèce, la culpabilité de l’appelant ne doit pas être minimisée. En effet, exactement deux mois après avoir été condamné pour une violation grave des règles de la circulation, il a, par son comportement routier, à nouveau créé un danger sérieux pour la sécurité d’autrui, menaçant de surcroît un automobiliste à l’aide d’un couteau. A cet égard, il n’a manifesté aucun regret sérieux et n’a eu de cesse de minimiser ses torts en rejetant la responsabilité sur son antagoniste. Or, quand bien même le comportement de l’intimé était lui aussi inadmissible et justifie que l’appelant soit exempté de peine pour les injures adressées à W.________ en réponse à son doigt d’honneur, cela ne saurait atténuer sa responsabilité quant à son dangereux comportement routier et aux</w:t>
      </w:r>
    </w:p>
    <w:p>
      <w:r>
        <w:t>- 27 - menaces proférées à l’encontre de l’intimé. Le concours d’infractions sera en outre retenu à sa charge. C.________ est reconnu coupable d’injure, de menaces et de violation grave des règles de la circulation routière. Il doit, comme on l’a vu, être exempté de peine s’agissant de l’injure, en application de l’art. 177 al. 3 CP. Pour le surplus, dans la mesure où une peine pécuniaire paraît adéquate et suffisante en termes de prévention spéciale, ce genre de peine doit être privilégié pour sanctionner les menaces et l’infraction à la loi sur la circulation routière. Dans la mesure où elle a été commise en situation de récidive, la violation grave des règles de la circulation routière est l’infraction la plus grave en l’espèce et doit valoir à l’appelant une peine de 40 jours- amende. Les effets du concours conduisent à l’augmentation de cette peine de base de 30 jours pour réprimer les menaces, de sorte qu’il se justifie de prononcer une peine pécuniaire d’ensemble de 70 jours- amende. Compte tenu de la récidive spéciale durant le délai d’épreuve et du pronostic défavorable qui en découle, c’est à juste titre que le premier juge a révoqué le sursis accordé à l’appelant le 7 juin 2019 par le Ministère public de l’arrondissement de l’Est vaudois. Toutefois, les peines étant de même genre, plutôt que d’ordonner l’exécution de la peine de 20 jours-amende prononcée à cette occasion, il convient de fixer une peine complémentaire à la peine d’ensemble de base. En application du principe de l’aggravation, la révocation du sursis, au demeurant non contestée en appel, justifie en définitive le prononcé d’une peine pécuniaire d’ensemble de 80 jours-amende. Le montant du jour-amende, fixé par les premiers juges à 50 fr. compte tenu de la situation personnelle et économique de l’auteur, est quant à lui adéquat et doit être confirmé. Enfin, c’est à juste titre que le premier juge a considéré que la situation de récidive spéciale de l’appelant et sa faible remise en question</w:t>
      </w:r>
    </w:p>
    <w:p>
      <w:r>
        <w:t>- 28 - excluaient l’octroi du sursis, appréciation que C.________ ne conteste au demeurant pas. En définitive, c’est donc une peine pécuniaire ferme d’ensemble de 80 jours-amende à 50 fr. le jour qui doit être prononcée.</w:t>
      </w:r>
    </w:p>
    <w:p>
      <w:r>
        <w:rPr>
          <w:b/>
        </w:rPr>
        <w:t>E. 7</w:t>
      </w:r>
    </w:p>
    <w:p>
      <w:r>
        <w:t>En conclusion, l’appel de C.________ doit être très partiellement admis et le jugement entrepris réformé dans le sens des considérants qui précèdent.</w:t>
      </w:r>
    </w:p>
    <w:p>
      <w:r>
        <w:rPr>
          <w:b/>
        </w:rPr>
        <w:t>E. 7.1</w:t>
      </w:r>
    </w:p>
    <w:p>
      <w:r>
        <w:t>Vu l’issue de la cause, les frais de la procédure d’appel, constitués en l’espèce du seul émolument de jugement, par 2’710 fr. (art. 21 al. 1 et 2 TFIP [Tarif des frais de procédure et indemnités en matière pénale du 28 septembre 2010 ; BLV 312.03.1]), seront mis par quatre cinquièmes, soit par 2’168 fr., à la charge de C.________, qui succombe dans une très large mesure, le solde étant laissé à la charge de l’Etat (art. 428 al. 1 CPP).</w:t>
      </w:r>
    </w:p>
    <w:p>
      <w:r>
        <w:rPr>
          <w:b/>
        </w:rPr>
        <w:t>E. 7.2</w:t>
      </w:r>
    </w:p>
    <w:p>
      <w:r>
        <w:t>Aucune indemnité au sens de l’art. 429 CPP ne sera allouée à l’appelant, dont la condamnation est confirmée pour tous les chefs d’accusation.</w:t>
      </w:r>
    </w:p>
    <w:p>
      <w:r>
        <w:rPr>
          <w:b/>
        </w:rPr>
        <w:t>E. 7.3</w:t>
      </w:r>
    </w:p>
    <w:p>
      <w:r>
        <w:t>L’intimé W.________, qui a procédé avec l’assistance d’un avocat de choix et a obtenu gain de cause dès lors qu’il a conclu au rejet de l’appel, a quant à lui droit, en tant que partie plaignante, à une indemnité pour les dépenses obligatoires occasionnées par la procédure d’appel. Aux débats d’appel, Me Antoine Schneebeli, avocat-stagiaire en l’étude de Me Frank Tièche, conseil de choix de W.________, a déposé des conclusions tendant à l’allocation d’une indemnité de 2'207 fr. 85 en sa faveur au titre de l’art. 433 CPP, à la charge de l’appelant (P. 47). Il a produit une liste d’opérations (P. 46) faisant état de 2 h 10 d’activité d’avocat breveté au tarif horaire de 350 fr. et de 5 h 10 d’activité d’avocat-stagiaire au tarif horaire de 250 fr., dont 1 h 40 consacrée à la</w:t>
      </w:r>
    </w:p>
    <w:p>
      <w:r>
        <w:t>- 29 - prise de connaissance et à l’envoi de différents courriers et mémos, 2 h 30 dévolues à la préparation de l’audience d’appel, 2 h 40 à l’audience et au déplacement y relatif et 30 minutes aux éventuelles opérations ultérieures. Il y a tout d’abord lieu de réduire la durée consacrée par le défenseur de choix au mandat. A cet égard, il n’y a en particulier pas lieu d’indemniser le courrier adressé le 18 août 2020 à la Cour de céans, qui concerne le retrait de son propre appel, ni le temps dévolu à l’envoi de mémos, dans la mesure où ceux-ci apparaissent comme de simples transmissions dépourvues d’investissement intellectuel d’avocat. Le temps consacré à la prise de connaissance et à l’envoi de courriers sera ainsi arrêté à une heure. En outre, au vu de la nature de l’affaire, qui ne présente pas de complexité en fait ou en droit, 1 h 30 apparaît suffisante pour préparer l’audience d’appel et 20 minutes pour effectuer toutes les opérations postérieures au jugement. Il y a en outre lieu de tenir compte de la durée effective des débats et de réduire le poste correspondant à 1 h 40, déplacement compris. Par ailleurs, dans la mesure où la note d’honoraires ne distingue pas les opérations effectuées par l’avocat- stagiaire et par l’avocat breveté, toutes les opérations seront indemnisées au tarif horaire de l’avocat-stagiaire, qui est de 160 fr. (art. 26a al. 3 in fine TFIP). Ainsi, tout bien considéré, il y a lieu de retenir une activité nécessaire d’avocat de 4 h 30 au tarif horaire de 160 fr., par 720 fr., montant auquel il convient d’ajouter des débours forfaitaires à concurrence de 2 % des honoraires admis (art. 19 al. 2 TDC [Tarif des dépens en matière civile du 23 novembre 2010 ; BLV 270.11.6], applicable par renvoi de l'art. 26a al. 6 TFIP), par 14 fr. 40, et la TVA au taux de 7,7 %, par 56 fr. 55. L’indemnité due à W.________ pour les dépenses obligatoires occasionnées par la procédure d’appel se monte ainsi à 790 fr. 95 au total, à la charge de l’appelant.</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