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PE19.019681 vom 14. November 2019</w:t>
      </w:r>
    </w:p>
    <w:p>
      <w:r>
        <w:t>VD Tribunal cantonal, 2019-11-14, FR</w:t>
      </w:r>
    </w:p>
    <w:p>
      <w:r>
        <w:rPr>
          <w:b/>
        </w:rPr>
        <w:t xml:space="preserve">Quelle: </w:t>
      </w:r>
      <w:r>
        <w:t>https://mcp.opencaselaw.ch/entscheid/vd_gerichte_PE19.019681</w:t>
      </w:r>
    </w:p>
    <w:p>
      <w:r>
        <w:t>FR: VD_GERICHTE PE19.019681 du 14 novembre 2019</w:t>
      </w:r>
    </w:p>
    <w:p>
      <w:r>
        <w:t>IT: VD_GERICHTE PE19.019681 del 14 novembre 2019</w:t>
      </w:r>
    </w:p>
    <w:p>
      <w:pPr>
        <w:pStyle w:val="Heading2"/>
      </w:pPr>
      <w:r>
        <w:t>Erwägungen</w:t>
      </w:r>
    </w:p>
    <w:p>
      <w:r>
        <w:rPr>
          <w:b/>
        </w:rPr>
        <w:t>E. 1.1</w:t>
      </w:r>
    </w:p>
    <w:p>
      <w:r>
        <w:t>Les parties peuvent attaquer une ordonnance de non- 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w:t>
      </w:r>
    </w:p>
    <w:p>
      <w:r>
        <w:t>- 4 - vaudoise d’introduction du Code de procédure pénale suisse; BLV 312.01]; art. 80 LOJV [loi vaudoise d’organisation judiciaire; BLV 173.01]).</w:t>
      </w:r>
    </w:p>
    <w:p>
      <w:r>
        <w:rPr>
          <w:b/>
        </w:rPr>
        <w:t>E. 1.2</w:t>
      </w:r>
    </w:p>
    <w:p>
      <w:r>
        <w:t>Interjeté dans le délai légal auprès de l’autorité compétente par la partie plaignante, qui a la qualité pour recourir (cf. art. 382 al. 1 CPP), le recours est recevable, sous réserve de la plainte déposée à l'encontre du Ministère public de l'arrondissement de Lausanne. D'une part, la Chambre des recours pénale n'est pas compétente pour recevoir des plaintes pénales et, d'autre part, le but de ce mode d'action est détourné par le recourant, qui entend en réalité par ce biais contester la décision rendue par l'autorité concernée.</w:t>
      </w:r>
    </w:p>
    <w:p>
      <w:r>
        <w:rPr>
          <w:b/>
        </w:rPr>
        <w:t>E. 2</w:t>
      </w:r>
    </w:p>
    <w:p>
      <w:r>
        <w:t>Le recourant requiert son audition par la Chambre des recours pénale.</w:t>
      </w:r>
    </w:p>
    <w:p>
      <w:r>
        <w:rPr>
          <w:b/>
        </w:rPr>
        <w:t>E. 2.1</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qu’ils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dans le cadre du recours (Message du 21 décembre 2005 relatif à l’unification du droit de la procédure pénale, FF 2006 p. 1297 ch. 2.9.2; TF 6B_803/2016 du 20 juillet 2017, consid. 1.2). Par ailleurs, l’art. 29 al. 2 Cst. (Constitution fédérale de la Confédération suisse du 18 avril 1999; RS 101) ne confère pas le droit d’être entendu oralement (ATF 134 I 140 consid. 5.3 et les références citées; TF 1B_422/2014 du 20 janvier 2015 consid. 3.2).</w:t>
      </w:r>
    </w:p>
    <w:p>
      <w:r>
        <w:rPr>
          <w:b/>
        </w:rPr>
        <w:t>E. 2.2</w:t>
      </w:r>
    </w:p>
    <w:p>
      <w:r>
        <w:t>En l’espèce, dans la mesure où l’intéressé a pu faire valoir ses arguments dans son recours, son droit d’être entendu a été respecté.</w:t>
      </w:r>
    </w:p>
    <w:p>
      <w:r>
        <w:t>- 5 - La Chambre de céans n’est ainsi pas tenue de l’auditionner (CREP 11 juillet 2018/531 consid. 2; CREP 24 novembre 2017/811 consid. 2; CREP 1er avril 2014/248 consid. 6 et les références citées). Sa requête doit dès lors être rejetée.</w:t>
      </w:r>
    </w:p>
    <w:p>
      <w:r>
        <w:rPr>
          <w:b/>
        </w:rPr>
        <w:t>E. 3</w:t>
      </w:r>
    </w:p>
    <w:p>
      <w:r>
        <w:t>Le recourant conteste le refus d'entrer en matière sur sa plainte en reprochant notamment à la Procureure de ne pas avoir analysé tous les faits dénoncés dans sa plainte.</w:t>
      </w:r>
    </w:p>
    <w:p>
      <w:r>
        <w:rPr>
          <w:b/>
        </w:rPr>
        <w:t>E. 3.1</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En revanche, le ministère public doit pouvoir rendre une ordonnance de non-entrée en matière dans les cas où il apparaît d’emblée qu’aucun acte d’enquête ne pourra apporter la preuve d’une infraction à la</w:t>
      </w:r>
    </w:p>
    <w:p>
      <w:r>
        <w:t>- 6 - charge d’une personne déterminée (TF 1B_67/2012 du 29 mai 2012 consid. 3.2).</w:t>
      </w:r>
    </w:p>
    <w:p>
      <w:r>
        <w:rPr>
          <w:b/>
        </w:rPr>
        <w:t>E. 3.2</w:t>
      </w:r>
    </w:p>
    <w:p>
      <w:r>
        <w:t>En l’espèce, force est de constater que le recourant n'allègue – ni dans sa plainte, ni dans son recours – aucun élément factuel précis pouvant donner à penser que les institutions et leurs intervenants, voire ses proches, se seraient rendus coupables d'infractions pénales de quelque nature que ce soit à son encontre. Son argumentation relative à la prescription, qui ne pourrait pas être atteinte s'agissant de certaines infractions, est dès lors infondée. Comme l'a à juste titre relevé la Procureure, il apparaît au contraire qu'il a bénéficié d'une solide structure sociale, médicale et judiciaire de la part de l'assurance-invalidité, du Centre universitaire romand de médecine légale, du Service des curatelles et de la Justice de paix. Qu'il demeure de manière générale insatisfait des services et prestations dont il a bénéficié ne révèle pas encore une infraction et l'institution de la plainte pénale n'est pas la voie adéquate pour s'en plaindre. Pour le surplus, il ne rend nullement vraisemblable qu'il aurait subi un quelconque acte de torture ou de mutilation, dont la perte de ses dents, en relation avec un fait imputable à l'une des autorités qu'il met en cause. De même, il n'apparaît pas que ses thérapeutes se seraient rendus coupables de diffamation à son encontre en le considérant paranoïaque et délirant, diagnostic à l'évidence réaliste au vu du contenu de la plainte, référence étant notamment faite à la prétendue intelligence artificielle dont il s'estime victime. Enfin, on ne voit pas non plus en quoi le retrait de ses permis de conduire après son refus de se présenter à un examen médical serait constitutif d'un abus de pouvoir. En définitive, il est manifeste que ce sont bien plutôt les troubles paranoïaques dont souffre le recourant qui poussent celui-ci à déposer plainte pénale pour tout et n'importe quoi. Cela étant, faute pour l’intéressé de décrire un quelconque comportement susceptible de contrevenir à une norme pénale, c'est à juste titre que le Ministère public a refusé d'entrer en matière en application de l'art. 310 al. 1 let. a CPP.</w:t>
      </w:r>
    </w:p>
    <w:p>
      <w:r>
        <w:t>- 7 -</w:t>
      </w:r>
    </w:p>
    <w:p>
      <w:r>
        <w:rPr>
          <w:b/>
        </w:rPr>
        <w:t>E. 4</w:t>
      </w:r>
    </w:p>
    <w:p>
      <w:r>
        <w:t>Au vu de ce qui précède, le recours, manifestement mal fondé, doit être rejeté sans échange d’écritures (art. 390 al. 2 CPP), dans la mesures où il est recevable (cf. supra, consid. 1.2), et l’ordonnance du 9 octobre 2019 confirmée. La requête tendant à l’octroi de l’assistance judiciaire gratuite pour la procédure de recours, respectivement à la désignation d’un conseil juridique gratuit, doit être rejetée, le recours étant d'emblée dénué de chances de succès (CREP 29 avril 2019/344; CREP 23 mars 2017/190; CREP 22 septembre 2016/484; Ruckstuhl, Basler Kommentar, Schweizerische Strafprozessordnung, Jugendstrafprozessordnung, 2e éd., Bâle 2014, n. 10 ad art. 132 CPP). Les frais de la procédure de recours, constitués en l’espèce de l’émolument d'arrêt, par 770 fr. (art. 20 al. 1 TFIP [tarif des frais de procédure et indemnités en matière pénale du 28 septembre 2010; BLV 312.03.1]), seront mis à la charge du recourant, qui succombe (art. 428 al. 1 CPP). Le montant de 550 fr. déjà versé par le recourant à titre de sûretés sera imputé sur les frais de procédure mis à sa charge (art. 383 al. 1 CPP ; art. 7 TFIP).</w:t>
      </w:r>
    </w:p>
    <w:p>
      <w:r>
        <w:t>- 8 - Par ces motifs, la Chambre des recours pénale prononce : I. Le recours est rejeté dans la mesure où il est recevable. II. L'ordonnance du 9 octobre 2019 est confirmée. III. La requête d'assistance judiciaire est rejetée. IV. Les frais d’arrêt, par 770 fr. (sept cent septante francs), sont mis à la charge de A.I.________. V. Le montant de 550 fr. (cinq cent cinquante francs) déjà versé par A.I.________ à titre de sûretés est imputé sur les frais mis à la charge de celui-ci au chiffre IV ci-dessus. VI. L’arrêt est exécutoire. Le président : Le greffier : Du Le présent arrêt, dont la rédaction a été approuvée à huis clos, est notifié, par l'envoi d'une copie complète, à : - M. A.I.________,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