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PE19.019419 vom 17. März 2020</w:t>
      </w:r>
    </w:p>
    <w:p>
      <w:r>
        <w:t>VD Tribunal cantonal, 2020-03-17, FR</w:t>
      </w:r>
    </w:p>
    <w:p>
      <w:r>
        <w:rPr>
          <w:b/>
        </w:rPr>
        <w:t xml:space="preserve">Quelle: </w:t>
      </w:r>
      <w:r>
        <w:t>https://mcp.opencaselaw.ch/entscheid/vd_gerichte_PE19.019419</w:t>
      </w:r>
    </w:p>
    <w:p>
      <w:r>
        <w:t>FR: VD_GERICHTE PE19.019419 du 17 mars 2020</w:t>
      </w:r>
    </w:p>
    <w:p>
      <w:r>
        <w:t>IT: VD_GERICHTE PE19.019419 del 17 marzo 2020</w:t>
      </w:r>
    </w:p>
    <w:p>
      <w:pPr>
        <w:pStyle w:val="Heading2"/>
      </w:pPr>
      <w:r>
        <w:t>Erwägungen</w:t>
      </w:r>
    </w:p>
    <w:p>
      <w:r>
        <w:rPr>
          <w:b/>
        </w:rPr>
        <w:t>E. 1</w:t>
      </w:r>
    </w:p>
    <w:p>
      <w:r>
        <w:t>CPP), le recours formé par A.F.________ est recevable (Moreillon/Parein- Reymond, Code de procédure pénale, Petit commentaire, 2e éd., Bâle 2016, n. 18 ad art. 132 CPP ; CREP 17 août 2017/542 consid. 1 et les références citées).</w:t>
      </w:r>
    </w:p>
    <w:p>
      <w:r>
        <w:rPr>
          <w:b/>
        </w:rPr>
        <w:t>E. 2.1</w:t>
      </w:r>
    </w:p>
    <w:p>
      <w:r>
        <w:t>La recourante reproche au Ministère public d’avoir considéré que la cause n’était compliquée ni en fait ni en droit et donc que l’affaire ne présentait pas de difficulté qu’elle ne pourrait pas surmonter seule. Elle fait valoir que la plainte pénale déposée par son époux prend place dans le contexte d’un important litige civil en lien avec leur séparation et la garde de leurs enfants, qu’en raison des ramifications entre l’affaire civile et pénale, la présente procédure ne serait pas simple ni de peu de gravité, que cette procédure supposerait en effet une instruction du contexte sous- jacent pour que l’autorité pénale puisse en déduire des conséquences juridiques et que les conséquences de l’enquête pénale pourraient avoir des répercussions importantes pour elle sur l’affaire civile en cours, notamment s’agissant des droits envers son enfant. En outre, la recourante soutient qu’elle n’a aucune connaissance juridique, qu’elle n’est pas familière de la pratique judiciaire, qu’elle n’aurait pas eu un niveau d’éducation suffisant dans son pays d’origine, qu’elle ne parle pas le français et que la seule présence d’un interprète ne suffirait pas pour l’aider. Enfin, elle relève qu’elle bénéficie d’un accompagnement pour gérer ses affaires administratives.</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w:t>
      </w:r>
    </w:p>
    <w:p>
      <w:r>
        <w:t>- 5 - Ces deux conditions sont cumulatives (Harari/Jakob/Santamaria, in : Jeanneret/Kuhn/Perrier Depeursinge [éd.], Commentaire romand, Code de procédure pénale suisse, 2e éd., Bâle 2019,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w:t>
      </w:r>
    </w:p>
    <w:p>
      <w:r>
        <w:rPr>
          <w:b/>
        </w:rPr>
        <w:t>E. 2.3</w:t>
      </w:r>
    </w:p>
    <w:p>
      <w:r>
        <w:t>En l’espèce, vu les pièces produites à l’appui du recours, l’indigence de la recourante doit être admise. Elle n’est du reste pas contestée par le Ministère public. Il convient dès lors d’examiner si l’assistance d’un défenseur est justifiée pour sauvegarder ses intérêts. Dans sa plainte, B.F.________ reproche à son épouse d’avoir déclaré mensongèrement, à l’occasion de deux audiences civiles, qu’il avait tenté de l’étrangler, de même que leur fils C.F.________. Il a expliqué que la recourante avait dans un premier temps retiré ses propos, mais qu’elle les avait réitérés ultérieurement. Cela ressort clairement des pièces qu’il a produites à l’appui de sa plainte (cf. les procès-verbaux d’audience produits sous P. 4/1 et P. 4/2). Lors de son audition devant le Ministère public, B.F.________ a confirmé sa plainte, tout en admettant avoir, lors d’un épisode qui s’était déroulé en 2014, été violent à l’encontre de son épouse, en lui saisissant le cou quelques instants, expliquant qu’elle s’était dégagée (PV aud. 1, p. 2). A cet égard, il a précisé qu’il avait « pété les plombs », qu’il avait réalisé ce qu’il faisait et qu’il l’avait lâchée (ibid.). Il est également reproché à A.F.________ d’avoir refusé de remettre leur fils à son père pour qu’il exerce son droit aux relations personnelles, alors qu’une décision en ce sens l’ordonnait (cf. P. 9). Au vu de ce qui précède, force est d’admettre que les faits de la présente cause sont simples. Ceux-ci sont en effet succincts, clairs et précis, et se fondent sur des éléments objectifs. On ne voit dès lors pas en quoi les faits pourraient s’avérer compliqués à appréhender par la recourante. Il lui appartiendra en effet simplement de se déterminer sur les accusations qui lui sont reprochées et de livrer ses propres explications à cet égard. Elle a d’ailleurs pu dire aux policiers qu’elle ne se souciait pas des conséquences du non-respect des décisions prises à son encontre (P. 7). Les éléments juridiques de la cause – en particulier les infractions en jeu – ne présentent pas non plus de difficultés particulières dans le cadre de la présente affaire et ne sauraient donc poser des problèmes de</w:t>
      </w:r>
    </w:p>
    <w:p>
      <w:r>
        <w:t>- 7 - compréhension qui nécessiteraient d’avoir suivi une formation juridique ou de disposer d’un niveau de formation élevé. La recourante bénéficie en outre d’une aide pour gérer ses affaires administratives sous la forme d’un accompagnement à l’intégration pour l’assister dans toutes ses démarches quotidiennes (P. 12/3/7). Elle parle couramment l’anglais et a la possibilité de disposer des services d’un interprète en cas de participation à des audiences et, le cas échéant, pour se faire traduire le contenu essentiel des actes de procédure les plus importants (cf. art. 68 al. 1 et 2 CPP), comme cela a été le cas jusqu’ici. Elle a d’ailleurs pu adresser elle-même une lettre au Ministère public pour requérir un tel service. Elle est donc manifestement en mesure d’agir sans le concours d’un défenseur. Sur ce point, on rappelle que la méconnaissance de la langue française ne saurait à elle seule justifier la présence d’un mandataire professionnel, le rôle de ce dernier étant différent (cf. CREP 7 février 2017/89 consid. 2.2 ; CREP 26 janvier 2018/54 consid. 2.2 ; TF 1B_24/2015 du 19 février 2015). Enfin, le plaignant s’est également vu refuser l’assistance d’un conseil juridique gratuit et celui-ci agit seul dans le cadre de la procédure pénale (P. 5/0). Le principe de l’égalité des parties est ainsi respecté. Il est exact que les faits dénoncés par B.F.________ et la police prennent plus largement place dans un contexte de conflit conjugal et dans le cadre d’une procédure civile pendante aux enjeux importants (droits de garde des enfants, prise en charge de l’enfant C.F.________, évaluation des parents, etc.) et que l’une ou l’autre procédure peut avoir des répercussions sur chacune d’entre elles. Cependant, cela ne signifie pas pour autant que l’assistance d’un avocat devrait s’avérer nécessaire pour la procédure pénale. Comme on l’a vu, outre que c’est de manière consciente que la recourante n’a pas respecté les décisions de la justice civile (P. 7), le volet pénal est circonscrit à des faits limités et ceux-ci n’auront qu’une incidence relative sur la procédure civile en cours. En réalité, l’issue de cette dernière dépendra surtout des mesures mises en œuvre par les autorités civiles, comme une expertise concernant la situation de l’enfant précité ainsi que l’évaluation des compétences parentales (cf. P. 12/3/2), et du respect par les parties des décisions prises</w:t>
      </w:r>
    </w:p>
    <w:p>
      <w:r>
        <w:t>- 8 - à leur égard. De plus, les parties sont toutes deux assistées d’un conseil pour le volet civil. Enfin, la cause pénale est de peu de gravité. Les infractions contre l’honneur (art. 173 ou 174 CP [Code pénal suisse du 31 décembre 1937 ; RS 311.0]) et contre l’administration de la justice (art. 303 et 304 CP) concernent un acte isolé et les accusations prétendument proférées par la recourante ne sont pas suffisamment caractérisées pour justifier une lourde peine. Ainsi, A.F.________ s’expose selon toute vraisemblance, en cas de condamnation, à une peine maximale inférieure à 120 jours- amende. De plus, l’insoumission à une décision de l’autorité n’est passible que d’une simple amende (art. 292 CP). Au vu de l’ensemble des éléments qui précèdent, force est de constater que les conditions prévues à l’art. 132 al. 1 let. b et al. 2 et 3 CPP ne sont pas remplies. La recourante n’a dès lors pas, même si elle est indigente, de droit à se voir désigner un défenseur d’office. C’est donc à juste titre que le Procureur a rejeté la requête de l’intéressée en ce sens.</w:t>
      </w:r>
    </w:p>
    <w:p>
      <w:r>
        <w:rPr>
          <w:b/>
        </w:rPr>
        <w:t>E. 3</w:t>
      </w:r>
    </w:p>
    <w:p>
      <w:r>
        <w:t>Il résulte de ce qui précède que le recours, manifestement mal fondé, doit être rejeté, sans échange d’écritures (art. 390 al. 2 CPP), et l’ordonnance attaquée confirmée. La requête de désignation d’un défenseur d’office présentée par la recourante pour la procédure de recours sera rejetée, car le recours était d’emblée dénué de chances de succès (CREP 27 janvier 2020/46 et la référence citée). Les frais de la procédure de recours, constitués en l'espèce du seul émolument d’arrêt, par 880 fr. (art. 20 al. 1 TFIP [Tarif des frais de procédure et indemnités en matière pénale du 28 septembre 2010 ; BLV 312.03.1]), seront mis à la charge de la recourante, qui succombe (art. 428 al. 1 CPP).</w:t>
      </w:r>
    </w:p>
    <w:p>
      <w:r>
        <w:t>- 9 - Par ces motifs, la Chambre des recours pénale prononce : I. Le recours est rejeté. II. L’ordonnance du 17 février 2020 est confirmée. III. La requête de désignation d’un défenseur d’office pour la procédure de recours est rejetée. IV. Les frais d’arrêt, par 880 fr. (huit cent huitante francs), sont mis à la charge de A.F.________. V. L’arrêt est exécutoire. La vice-présidente : Le greffier : Du Le présent arrêt, dont la rédaction a été approuvée à huis clos, est notifié, par l'envoi d'une copie complète, à : - Me Dominique-Anne Kirchhofer, avocate (pour A.F.________), - Ministère public central, et communiqué à : - M. le Procureur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3.1</w:t>
      </w:r>
    </w:p>
    <w:p>
      <w:r>
        <w:t>et les références citées). En revanche, dans les « cas bagatelle » – soit, selon le Tribunal fédéral, ceux dans lesquels il ne risque qu'une peine de courte durée ou une amende –, le prévenu n'a pas, même s'il est indigent, de droit constitutionnel à la désignation d'un défenseur d'office gratuit (ATF 128 I 225 consid. 2.5.2).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