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PE19.018562 vom 13. November 2019</w:t>
      </w:r>
    </w:p>
    <w:p>
      <w:r>
        <w:t>VD Tribunal cantonal, 2019-11-13, FR</w:t>
      </w:r>
    </w:p>
    <w:p>
      <w:r>
        <w:rPr>
          <w:b/>
        </w:rPr>
        <w:t xml:space="preserve">Quelle: </w:t>
      </w:r>
      <w:r>
        <w:t>https://mcp.opencaselaw.ch/entscheid/vd_gerichte_PE19.018562</w:t>
      </w:r>
    </w:p>
    <w:p>
      <w:r>
        <w:t>FR: VD_GERICHTE PE19.018562 du 13 novembre 2019</w:t>
      </w:r>
    </w:p>
    <w:p>
      <w:r>
        <w:t>IT: VD_GERICHTE PE19.018562 del 13 novembre 2019</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222 et 393 al. 1 let. c CPP), par le prévenu qui a qualité pour recourir (art. 222 et 382 al. 1 CPP), et dans les formes prescrites (art. 385 al. 1 CPP), le recours d’A.________ est recevable.</w:t>
      </w:r>
    </w:p>
    <w:p>
      <w:r>
        <w:rPr>
          <w:b/>
        </w:rPr>
        <w:t>E. 2</w:t>
      </w:r>
    </w:p>
    <w:p>
      <w:r>
        <w:t>Aux termes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w:t>
      </w:r>
    </w:p>
    <w:p>
      <w:r>
        <w:rPr>
          <w:b/>
        </w:rPr>
        <w:t>E. 3.1</w:t>
      </w:r>
    </w:p>
    <w:p>
      <w:r>
        <w:t>Le recourant ne remet pas en cause l’existence de soupçons suffisants de culpabilité à son égard. Il conteste en revanche l’existence d’un risque de collusion. Il rappelle qu’il a répété à maintes reprises qu’il ignorait l’identité du troisième comparse qui, selon toute vraisemblance, serait une connaissance de S.________. Il précise avoir d’ores et déjà transmis au Ministère public toutes les informations en sa possession quant à ce tiers, soit son nom « Granit », ainsi qu’une description aussi précise que possible de sa personne. Le recourant expose qu’il n’y aurait dès lors pas à craindre qu’il prenne contact avec une personne dont il ignorerait tout, dont le numéro de téléphone et l’adresse, et qu’il ne connaîtrait au demeurant pas.</w:t>
      </w:r>
    </w:p>
    <w:p>
      <w:r>
        <w:rPr>
          <w:b/>
        </w:rPr>
        <w:t>E. 3.2</w:t>
      </w:r>
    </w:p>
    <w:p>
      <w:r>
        <w:t>Le maintien en détention provisoire peut être justifié par l’intérêt public lié aux besoins de l’instruction en cours, par exemple lorsqu’il est à craindre que l’intéressé mette sa liberté à profit pour faire disparaître ou altérer les preuves, ou qu’il prenne contact avec des</w:t>
      </w:r>
    </w:p>
    <w:p>
      <w:r>
        <w:t>- 5 - témoins ou d’autres prévenus pour tenter d’influencer leurs déclarations (art. 221 al. 1 let b CPP). Ce motif de détention avant jugement vise ainsi à garantir la constatation exacte et complète des faits ; il concerne toutes les personnes sur lesquelles le prévenu pourrait exercer une influence pour empêcher ou compromettre la recherche de la vérité (par exemple par la menace, la séduction ou la mise en commun d’intérêts identiques), soit non seulement des coaccusés ou des complices, mais aussi la partie plaignante, les témoins, les experts ou toute autre personne amenée à participer à la procédure (Schmocker, in : Kuhn/Jeanneret [éd.], Commentaire romand, Code de procédure pénale suisse, Bâle 2011, nn. 14 et 15 ad art. 221 CPP ; cf. ATF 137 IV 122 consid. 6.2 et 6.4). Selon la jurisprudence, on ne saurait toutefois se contenter d’un risque de collusion abstrait, car ce risque est inhérent à toute procédure pénale en cours et doit, pour permettre à lui seul le maintien en détention provisoire, présenter une certaine vraisemblance. L’autorité doit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132 I 21 consid. 3.2 ; TF 1B_79/2012 du 22 février 2012 consid. 5.1 ; TF 1B_55/2010 du 11 mars 2010 consid. 3.1 et les références citées).</w:t>
      </w:r>
    </w:p>
    <w:p>
      <w:r>
        <w:rPr>
          <w:b/>
        </w:rPr>
        <w:t>E. 3.3</w:t>
      </w:r>
    </w:p>
    <w:p>
      <w:r>
        <w:t>En l’occurrence, le recourant n’est pas crédible lorsqu’il dit ne pas connaître le troisième membre du groupe encore non identifié. En outre, les mesures d’instruction devront être mises en œuvre pour le retrouver et, dans cette perspective, il est naturellement essentiel que les trois protagonistes ne puissent pas compromettre l’établissement des faits, s’agissant en particulier du déroulement de l’agression du 18 août 2019. Le prévenu est donc susceptible de compromettre ou d’entraver la recherche de la vérité. Au vu de ce qui précède, force est de constater que le risque de collusion est concret et sérieux. Les conditions de l’art. 221 al. 1 CPP</w:t>
      </w:r>
    </w:p>
    <w:p>
      <w:r>
        <w:t>- 6 - étant alternatives (TF 1B_249/2011 du 7 juin 2011 consid. 2.4), il n’est pas nécessaire d’examiner si la détention s’impose également en raison du risque de fuite.</w:t>
      </w:r>
    </w:p>
    <w:p>
      <w:r>
        <w:rPr>
          <w:b/>
        </w:rPr>
        <w:t>E. 4.1</w:t>
      </w:r>
    </w:p>
    <w:p>
      <w:r>
        <w:t>Invoquant une violation du principe de la proportionnalité, le recourant soutient que les mesures de substitution proposées en lieu et place de la détention provisoire seraient propres à pallier tout éventuel risque de fuite.</w:t>
      </w:r>
    </w:p>
    <w:p>
      <w:r>
        <w:rPr>
          <w:b/>
        </w:rPr>
        <w:t>E. 4.2</w:t>
      </w:r>
    </w:p>
    <w:p>
      <w:r>
        <w:t>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139 IV 270 consid. 3.1 ; ATF 133 I 168 consid. 4.1 et la jurisprudence citée). A cet égard, il est admis que le juge peut maintenir la détention provisoire aussi longtemps qu’elle n’est pas très proche de la durée de la peine privative de liberté à laquelle il faut s’attendre concrètement en cas de condamnation (ATF 143 IV 168 consid. 5.1 ; ATF 139 IV 270 consid. 3.1). Conformément au principe de la proportionnalité (art. 36 al. 3 Cst. [Constitution fédérale de la Confédération suisse du 18 avril 1999 ; RS 101] ; pour la procédure pénale, cf. art. 197 al. 1 let. c CPP), il convient d'examiner les possibilités de mettre en œuvre d'autres solutions moins dommageables que la détention, qui représente l'ultima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Le juge de la détention n'est en particulier pas limité par la liste énoncée à l'art. 237 al. 2 CPP et peut également, le cas échéant, assortir la/les mesure(s) de substitution de toute condition propre à en garantir l'efficacité (ATF 142 IV 367 consid. 2.1, SJ 2017 I 233).</w:t>
      </w:r>
    </w:p>
    <w:p>
      <w:r>
        <w:t>- 7 -</w:t>
      </w:r>
    </w:p>
    <w:p>
      <w:r>
        <w:rPr>
          <w:b/>
        </w:rPr>
        <w:t>E. 4.3</w:t>
      </w:r>
    </w:p>
    <w:p>
      <w:r>
        <w:t>En l'espèce, le principe de la proportionnalité est respecté au vu de la peine encourue par le recourant et de la durée encore relativement réduite de la détention provisoire ordonnée par le Tribunal des mesures de contrainte, à savoir six semaines. En outre, les mesures de substitution proposées par le recourant ne sont pas de nature à l’empêcher de prendre contact, d’une manière ou d’une autre, avec la troisième personne du groupe. On ne voit d’ailleurs pas quelle autre mesure serait susceptible de pallier ce risque. Ainsi, la Cour de céans considère qu’aucune mesure de substitution n’est envisageable dans l’immédiat.</w:t>
      </w:r>
    </w:p>
    <w:p>
      <w:r>
        <w:rPr>
          <w:b/>
        </w:rPr>
        <w:t>E. 5</w:t>
      </w:r>
    </w:p>
    <w:p>
      <w:r>
        <w:t>Il résulte de ce qui précède que le recours, manifestement mal fondé, doit être rejeté sans échange d’écritures (art. 390 al. 2 CPP) et l’ordonnance attaquée confirmée. Les frais de la procédure de recours, constitués en l’espèce de l’émolument d'arrêt, par 770 fr. (art. 20 al. 1 TFIP [Tarif des frais de procédure et indemnités en matière pénale du 28 septembre 2010 ; BLV 312.03.1]), et des frais imputables à la défense d’office (art. 422 al. 1 et 2 let. a CPP), fixés à 360 fr., auxquels il convient d’ajouter des débours forfaitaires à concurrence de 2 % (art. 3bis al. 1 RAJ [Règlement du 7 décembre 2010 sur l'assistance judiciaire en matière civile ; BLV 211.02.3], applicable par renvoi de l’art. 26b TFIP), par 7 fr. 20, plus la TVA, par 28 fr. 25, soit à 395 fr. 45 au total, seront mis à la charge du recourant, qui succombe (art. 428 al. 1 CPP). Le remboursement à l’Etat de l’indemnité allouée au défenseur d’office du recourant ne sera toutefois exigible que pour autant que la situation financière de ce dernier le permette (art. 135 al. 4 CPP).</w:t>
      </w:r>
    </w:p>
    <w:p>
      <w:r>
        <w:t>- 8 - Par ces motifs, la Chambre des recours pénale prononce : I. Le recours est rejeté. II. L’ordonnance du 31 octobre 2019 est confirmée. III. L’indemnité allouée au défenseur d’office d’A.________ est fixée à 395 fr. 45 (trois cent nonante-cinq francs et quarante-cinq centimes). IV. Les frais d’arrêt, par 770 fr. (sept cent septante francs), ainsi que l’indemnité due au défenseur d’office d’A.________, par 395 fr. 45 (trois cent nonante-cinq francs et quarante-cinq centimes), sont mis à la charge de ce dernier. V. Le remboursement à l’Etat de l’indemnité allouée au chiffre III ci-dessus ne sera exigible que pour autant que la situation financière d’A.________ le permette. VI. L’arrêt est exécutoire. Le président : Le greffier : Du Le présent arrêt, dont la rédaction a été approuvée à huis clos, est notifié, par l'envoi d'une copie complète, à : - Me Sarah Perrier (avocate pour A.________), - Ministère public central,</w:t>
      </w:r>
    </w:p>
    <w:p>
      <w:r>
        <w:t>- 9 - et communiqué à : - M. le Procureur du Ministère public cantonal Strada, - M. M.________,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