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PE19.018219 vom 23. Dezember 2020</w:t>
      </w:r>
    </w:p>
    <w:p>
      <w:r>
        <w:t>VD Tribunal cantonal, 2020-12-23, FR</w:t>
      </w:r>
    </w:p>
    <w:p>
      <w:r>
        <w:rPr>
          <w:b/>
        </w:rPr>
        <w:t xml:space="preserve">Quelle: </w:t>
      </w:r>
      <w:r>
        <w:t>https://mcp.opencaselaw.ch/entscheid/vd_gerichte_PE19.018219</w:t>
      </w:r>
    </w:p>
    <w:p>
      <w:r>
        <w:t>FR: VD_GERICHTE PE19.018219 du 23 décembre 2020</w:t>
      </w:r>
    </w:p>
    <w:p>
      <w:r>
        <w:t>IT: VD_GERICHTE PE19.018219 del 23 dicembre 2020</w:t>
      </w:r>
    </w:p>
    <w:p>
      <w:pPr>
        <w:pStyle w:val="Heading2"/>
      </w:pPr>
      <w:r>
        <w:t>Erwägungen</w:t>
      </w:r>
    </w:p>
    <w:p>
      <w:r>
        <w:rPr>
          <w:b/>
        </w:rPr>
        <w:t>E. 16</w:t>
      </w:r>
    </w:p>
    <w:p>
      <w:r>
        <w:t>avril 2018 consid. 2.1).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8 juin 2020/439 consid. 2.2 ; CREP 10 mai 2016/305 et les références citées). 2.2.2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w:t>
      </w:r>
    </w:p>
    <w:p>
      <w:r>
        <w:t>- 8 -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2.2.3 A teneur de l'art. 15 CP, quiconque, de manière contraire au droit, est attaqué ou menacé d'une attaque imminente a le droit de repousser l'attaque par des moyens proportionnés aux circonstances; le même droit appartient aux tiers.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6B_1171/2017 du 12 avril 2018 consid. 3.1 ; TF 6B_600/2014 du 23 janvier 2015 consid. 5.1 non publié in : ATF 141 IV 61).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TF 6B_1171/2017 précité consid. 3.1 ; TF 6B_130/2017 du 27 février 2018 consid. 3.1). Peut se prévaloir de la légitime défense, l'auteur qui agit avec conscience et volonté dans le dessein de détourner une attaque (ATF 104 IV 1 consid. a).</w:t>
      </w:r>
    </w:p>
    <w:p>
      <w:r>
        <w:t>- 9 - 2.3 En l’espèce, les faits ne sont globalement pas contestés, à l’exception d’un point : le recourant soutient qu’après l’avoir amené au sol, le prévenu lui aurait serré très fort le cou, au point de l’empêcher de respirer et de mettre sa vie en danger. Le second point contesté par le recourant concerne la proportionnalité des moyens utilisés par le prévenu pour l’immobiliser. Pour examiner ces questions, il faut avoir à l’esprit les circonstances du début de l’altercation et le comportement du recourant qui a conduit à sa mise à terre et à son immobilisation. Durant son audition-plainte du 14 août 2019, le recourant a expliqué que l’altercation était survenue après qu’un infirmier, soit le prévenu, ainsi que le médecin, le Dr G.________, l’avaient informé qu’il n’aurait pas son traitement ce jour-là, car il n’avait pas voulu saluer un autre infirmier ; le plaignant aurait alors déclaré qu’il ne partirait pas sans sa médication (PV aud. 1 p. 2). Lors de son audition du 21 octobre 2019, le plaignant a précisé que le jour des faits, le prévenu et le Dr G.________ lui avaient annoncé qu’ils lui coupaient son traitement définitivement et qu’il devrait se rendre à la Pharmacie 24 pour prendre du Serve-Long (PV aud. 3 p. 2). Le plaignant a expliqué que ce serait l’infirmier qui l’aurait immédiatement poussé avec ses paumes de mains au niveau de son thorax, à deux reprises ; le plaignant lui aurait donc donné un coup de poing au niveau de son menton pour se défendre (PV aud. 1 p. 2 ; PV aud. 3 p. 3). Le prévenu a quant à lui expliqué qu’une intervenante socio- éducative lui avait annoncé qu’M.________ était dénigrant et insultant envers le responsable socio-éducatif, [...]. Le personnel du service d’addictologie aurait donc décidé à l’unanimité de trouver une alternative au traitement et de refuser que le patient, qui se serait montré irrespectueux, entre dans la salle de soins (PV aud. 6 pp. 3 et 4). Le plaignant les aurait alors insultés, raison pour laquelle les collaborateurs du service d’addictologie lui auraient demandé de partir. Le plaignant</w:t>
      </w:r>
    </w:p>
    <w:p>
      <w:r>
        <w:t>- 10 - aurait alors poussé le prévenu pour l’empêcher de mettre fin à la conversation ; il se serait montré insistant et insultant. J.________ aurait maintenu la décision, voulant arrêter la discussion et se diriger vers son bureau. Le plaignant lui aurait alors donné un coup de poing au visage. Il y aurait eu un moment de stupeur, puis le plaignant aurait essayé de frapper l’infirmier une deuxième fois. Ce dernier aurait alors bloqué ce second coup avec son bras pour se protéger, puis l’aurait saisi et accompagné au sol (PV aud. 6 p. 4). Il ressort du témoignage du Dr G.________ qu’il avait été appelé par une assistante sociale en raison du comportement du plaignant, qui aurait été agressif et insultant envers un autre membre du personnel, [...]. Le médecin et l’infirmier J.________ auraient alors pris la décision que le plaignant ne pourrait pas entrer dans la salle pour prendre son traitement prévu ce jour-là, compte tenu de son comportement. Ils lui auraient ainsi annoncé leur décision et lui auraient proposé une autre alternative (PV aud. 4, R. 10 p. 3). Alors qu’ils lui auraient dit de partir, le patient étant trop agité, ce dernier aurait donné un coup de poing à la mandibule de l’infirmier. Celui-ci aurait ensuite maîtrisé le plaignant en l’amenant au sol (ibid.). Il ressort également du témoignage de l’assistante sociale R.________ que, dans un premier temps, la tension serait montée entre le plaignant et [...], M.________ l’ayant insulté. Au vu de son comportement agressif, elle aurait discuté avec C.________ et J.________ de la suite du traitement du plaignant (PV aud. 5 p. 4). Compte tenu des éléments qui précèdent, la version la plus plausible est clairement celle du prévenu, confortée par les déclarations des témoins, qui ont relaté le comportement virulent du plaignant avant l’altercation physique. Il n’est ainsi pas vraisemblable que le prévenu aurait commencé par pousser le recourant, qui aurait alors dû se défendre. Il est en effet nettement plus plausible que le plaignant ait réagi à une frustration en s’en prenant physiquement à l’infirmier J.________, en lui assénant un coup de poing au visage. Il apparaît également que le</w:t>
      </w:r>
    </w:p>
    <w:p>
      <w:r>
        <w:t>- 11 - recourant s’est montré menaçant, par la parole et le geste, ce qui a poussé l’infirmier à le saisir et à l’amener au sol pour le tenir immobilisé. Il en a résulté pour le recourant une dermabrasion au niveau de la tête et plusieurs ecchymoses au niveau de plusieurs parties du corps. Ces atteintes, qui constituent des lésions corporelles simples (art. 123 CP), sont toutes compatibles avec les faits décrits par les protagonistes. En ce qui concerne un éventuel serrage de cou et de la nuque, les versions divergent. On peut retenir ce qui suit : Le constat médical de l’UMV ne faisait état d’aucune marque ou ecchymose au niveau du cou ou de la nuque. Ce constat date du 19 août 2019, alors que les faits remontent au 13 août 2019, soit six jours plus tôt. Comme l’indique le recourant, il est possible que les prétendues marques qu’il allègue aient disparu entre temps. Le recourant a déposé plainte le 14 août 2019, soit le lendemain de l’altercation. Au pied du procès-verbal d’audition-plainte figurent sous le champ « Blessures » les mentions : « rougeurs à la base du cou côté gauche » et « rougeurs sur la nuque » (PV aud. 1 p. 3). Le recourant y voit la preuve de ses accusations. Pourtant, le fait que de telles marques étaient apparentes le lendemain des faits, mais plus six jours après, est un indice concret que le prévenu n’a pas appliqué une pression aussi forte que le recourant veut bien le dire. Ces rougeurs sont au demeurant compatibles avec la version du prévenu, qui a indiqué avoir tenu le visage du recourant de côté pour éviter que ce dernier lui crache dessus (PV aud. 6 p. 4). Par ailleurs, si véritablement la pression avait empêché le recourant de respirer, les rougeurs n’auraient pas été à la base du cou et sur la nuque, mais bien sur le cou lui-même, à tout le moins. Le témoin R.________, qui a assisté de loin à la scène, a indiqué qu’elle n’avait pas vu le prévenu étrangler le recourant, mais qu’elle avait en revanche entendu le recourant tout au long de la manœuvre (PV aud. 5 R. 12 p. 5). Selon ce témoin, M.________ parlait et criait des insultes ; il</w:t>
      </w:r>
    </w:p>
    <w:p>
      <w:r>
        <w:t>- 12 - était virulent et en tout cas pas amorphe (PV aud. 5 R. 11 p. 4). A aucun moment elle n’a vu le plaignant perdre connaissance, car il était toujours en contact avec C.________. La situation décrite n’est ainsi pas compatible avec celle d’une personne suffoquant, telle que l’allègue le recourant. On en déduit que le recourant ne se trouvait pas dans un état où il était empêché de respirer, à tel point que sa vie aurait été mise en danger, comme il l’a décrit dans sa plainte. Il découle de ce qui précède que l’on ne discerne aucun acte disproportionné de la part du prévenu. Comme indiqué précédemment, les gestes de maîtrise perpétrés par le prévenu pour immobiliser le plaignant étaient justifiés par la légitime défense, rendant licites les atteintes subies par ce dernier. Le recourant a requis l’audition de C.________, qui était à ses côtés lorsqu’il était au sol. Le Ministère public avait requis cette audition par la police, mais elle n’a pas pu avoir lieu, l’intéressée se trouvant à cette époque au Pérou pour une année. Cette période étant à présent écoulée, le recourant affirme que ce témoin serait de retour en Suisse. Cela étant, cette audition n’est pas nécessaire ; il y a en effet suffisamment d’éléments qui plaident pour ne pas retenir la version du recourant. On peut également douter que l’intéressée puisse se souvenir des détails de la scène, qui s’est déroulée il y a plus d’une année, et en particulier de la position des mains du prévenu. Il en va de même des autres patients présents lors de l’altercation. Ceux-ci sont des personnes vulnérables et le CHUV a refusé d’en donner l’identité afin de les protéger. Par ailleurs, il n’est pas allégué ni soutenu que l’un ou l’autre aurait vu la scène du prétendu étranglement. Compte tenu de ce qui précède, les mesures d’instruction requises sont inutiles et doivent être rejetées. Pour tous ces motifs, l’ordonnance de classement et de non- entrée en matière doit être confirmée.</w:t>
      </w:r>
    </w:p>
    <w:p>
      <w:r>
        <w:t>- 13 - 3. Au vu de ce qui précède, le recours doit être rejeté et l’ordonnance entreprise confirmée. La requête d’assistance judiciaire d’M.________ pour la procédure de recours est superflue, dès lors que le droit à un conseil juridique gratuit vaut pour toutes les étapes de la procédure et ne prend fin qu’à l’épuisement des voies de droit régies par le CPP, l’assistance judiciaire pour une éventuelle procédure devant le Tribunal fédéral faisant en revanche l’objet d’une nouvelle décision de ce dernier (art. 64 LTF [loi sur le Tribunal fédéral du 17 juin 2005 ; RS 173.110]). Il n’y a ainsi pas matière à une nouvelle désignation par l’autorité de recours d’un conseil juridique gratuit déjà désigné par l’autorité inférieure, à la différence de ce que prévoit l’art. 119 al. 5 CPC (Code de procédure civile du 19 décembre 2008 ; RS 272) en matière civile (CREP 25 août 2020/529 consid. 3 ; 1er février 2019/42 ; CREP 21 décembre 2018/1004). Le conseil juridique gratuit d’M.________, Me Jana Burysek, a produit une liste d’opérations faisant état d’une durée totale de 9 heures et 20 minutes d’activité (P. 48/1), sans précision du temps consacré à chaque opération. Ce temps est excessif. En effet, l’affaire ne présente pas de difficulté particulière, en fait ou en droit, de sorte que la durée d’activité nécessaire retenue sera réduite à 5 heures.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conseil juridique gratuit un montant de 900 fr. à titre d’honoraires. A cela s’ajoutent un forfait pour les débours de 2% (cf. art. 26b TFIP qui renvoie à l'art. 3bis RAJ), par 18 fr., ainsi que la TVA sur le tout, au taux de 7,7%, par 70 fr. 70. Partant, une indemnité d’un montant total de 989 fr. en chiffres arrondis sera allouée à Me Jana Burysek. Les frais d’arrêt, par 1’430 fr. (art. 20 al. 1 TFIP), ainsi que l’indemnité due au conseil d’office (art. 422 al. 1 et 2 let. a CPP), fixée à 989 fr., sont mis à la charge du recourant qui succombe (cf. art. 428 al. 1</w:t>
      </w:r>
    </w:p>
    <w:p>
      <w:r>
        <w:t>- 14 - CPP), mais provisoirement laissés à la charge de l’Etat (CREP 26 janvier 2021/69 consid. 3.2 ; CREP 25 août 2020/529 ; Harari/Corminboeuf Harari, in : Jeanneret/Kuhn/Perrier Depeursinge [édit.], Commentaire romand, Code de procédure pénale suisse, 2e éd., Bâle 2019, n. 51 ad art. 136 CPP), dès lors que le recourant bénéficie de l’assistance judiciaire. Celui-ci sera toutefois tenu de rembourser ces frais à l’Etat dès que sa situation financière le permettra (art. 135 al. 4 CPP, par renvoi de l’art. 138 al. 1 CPP ; Harari/Corminboeuf Harari, op. cit., n. 11 ad art. 138 CPP). Par ces motifs, la Chambre des recours pénale prononce : I. Le recours est rejeté. II. L’ordonnance du 10 septembre 2020 est confirmée. III. L’indemnité allouée au conseil juridique gratuit d’M.________ est fixée à 989 fr. (neuf cent huitante-neuf francs). IV. Les frais d’arrêt, par 1'430 fr. (mille quatre cent trente francs), ainsi que l’indemnité due au conseil juridique gratuit d’M.________, par 989 fr. (neuf cent huitante-neuf francs), sont mis à la charge d’M.________, mais provisoirement laissés à la charge de l’Etat. V. Le remboursement à l’Etat de l’indemnité et des frais fixés aux chiffres III et IV ci-dessus ne sera exigible que pour autant que la situation financière d’M.________ le permette. VI. L’arrêt est exécutoire. Le président : La greffière :</w:t>
      </w:r>
    </w:p>
    <w:p>
      <w:r>
        <w:t>- 15 - Du Le présent arrêt, dont la rédaction a été approuvée à huis clos, est notifié, par l'envoi d'une copie complète, à : - Me Jana Burysek, avocate (pour M.________), - Me Odile Pelet, avocate (pour J.________), - Ministère public central, et communiqué à : - Mme la Procureure de l’arrondissement de Lausanne, - Unité des affaires juridiques du CHUV,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