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PE19.018177 vom 10. August 2022</w:t>
      </w:r>
    </w:p>
    <w:p>
      <w:r>
        <w:t>VD Tribunal cantonal, 2022-08-10, FR</w:t>
      </w:r>
    </w:p>
    <w:p>
      <w:r>
        <w:rPr>
          <w:b/>
        </w:rPr>
        <w:t xml:space="preserve">Quelle: </w:t>
      </w:r>
      <w:r>
        <w:t>https://mcp.opencaselaw.ch/entscheid/vd_gerichte_PE19.018177</w:t>
      </w:r>
    </w:p>
    <w:p>
      <w:r>
        <w:t>FR: VD_GERICHTE PE19.018177 du 10 août 2022</w:t>
      </w:r>
    </w:p>
    <w:p>
      <w:r>
        <w:t>IT: VD_GERICHTE PE19.018177 del 10 agosto 2022</w:t>
      </w:r>
    </w:p>
    <w:p>
      <w:pPr>
        <w:pStyle w:val="Heading2"/>
      </w:pPr>
      <w:r>
        <w:t>Erwägungen</w:t>
      </w:r>
    </w:p>
    <w:p>
      <w:r>
        <w:rPr>
          <w:b/>
        </w:rPr>
        <w:t>E. 47</w:t>
      </w:r>
    </w:p>
    <w:p>
      <w:r>
        <w:t>et 48 du jugement (cf. également supra Faits ch. 3.7). Il s’agit incontestablement, pour chaque enfant, d’une pluralité de mises en danger concrètes. Il ne fait aucun doute non plus que l’infraction est intentionnelle. La prévenue a agi durablement, durant plusieurs années, à réitérées reprises au préjudice de ses deux enfants, alors qu’ils avaient entre 3 et 5 ans pour B.Q.________ et entre 1 an et demi et 3 ans et demi pour C.Q.________, en leur infligeant diverses formes de maltraitance, de sorte qu’elle ne pouvait ignorer qu’elle causait de graves traumatismes qui auraient des conséquences sur le développement de ses enfants. Il s’ensuit que la condamnation pour violation du devoir d’assistance ou d’éducation doit ainsi être confirmée. 6. L’appelant conteste sa condamnation pour lésions corporelles simples qualifiées, mais sur la base d’un autre état de fait que celui retenu, à savoir qu’il ne serait pas établi que les marques de coups constatés sur le corps des enfants seraient en lien avec ses agissements, alors que tel est le cas (supra consid. 4.2). Mal fondé, ce moyen doit dès lors être rejeté. 7. L’appelante, qui conclut à son acquittement, ne conteste pas à titre subsidiaire la peine prononcée à son encontre. Celle-ci doit toutefois être vérifiée d’office.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- 29 -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7.1.2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t>- 30 - 7.2 Procédant à son examen d’office, la Cour de céans constate que la peine privative de liberté arrêtée à huit mois, par l’effet du concours, a été fixée selon les critères légaux. Compte tenu du risque de récidive et de l’importance des biens juridiquement protégés, seule une peine privative de liberté est en effet envisageable. Elle est toutefois particulièrement clémente compte tenu de la culpabilité de l’appelante, qualifiée à juste titre de lourde, et de l’appréciation des éléments à charge, tels qu’ils sont décrits en page 49 du jugement, laquelle peut être reprise ici par adoption de motifs (art. 82 al. 4 CPP). La peine prononcée sera cependant confirmée en raison du principe de l’interdiction de la reformatio in pejus. L’octroi du sursis et le délai d’épreuve de quatre ans ne prêtent pas le flanc à la critique et doivent être confirmés. Il en sera de même de la règle de conduite à forme d’une obligation faite à l’appelante de se soumettre à un traitement psychothérapeutique ambulatoire centre sur la gestion de l’impulsivité, celle-ci étant justifiée pour des motifs de prévention de la récidive. 8. Au vu de ce qui précède, l’appel doit être rejeté et le jugement entrepris confirmé. Me Gaëtan-Charles Barraud, défenseur d’office d’A.Q.________, a produit une liste d’opérations dans laquelle il indique une activité nécessaire d’avocat de 16.50 heures, ce qui est adéquat, sous réserve de la durée de l’audience d’appel qui a été surévaluée et qui sera fixée à 45 minutes. C’est donc une durée totale de 15.25 heures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2’775 fr., auxquels s’ajoutent des débours forfaitaires de 2 % (art. 26b TFIP qui renvoie à l'art. 3 bis RAJ), par 55 fr. 50, une vacation</w:t>
      </w:r>
    </w:p>
    <w:p>
      <w:r>
        <w:t>- 31 - à 120 fr. et la TVA sur le tout, au taux de 7,7%, par 227 fr. 20. L’indemnité de défenseur d’office pour la procédure d’appel sera dès lors fixée à 3'177 fr. 70 A cet égard, le chiffre III du dispositif communiqué aux parties contient une erreur de calcul manifeste en ce sens qu’il alloue à Me Gaëtan-Charles Barraud une indemnité moins élevée de 3’144 fr. 75. En application de l’art. 83 CPP, le dispositif sera dès lors rectifié d’office sur ce point. Me Coralie Germond, conseil juridique gratuit des enfants B.Q.________ et C.Q.________, a également produit une liste d’opérations Celle-ci fait état d’une activité nécessaire d’avocat de 6h00, dont il n’y a pas lieu de s’écarter, si ce n’est pour ajouter 45 minutes afin de tenir compte du temps consacré aux débats d’appel. C’est ainsi une durée de 6h45 qui sera retenue. Au tarif horaire de 180 fr., l’indemnité de conseil juridique gratuit sera dès lors fixée à 1'463 fr. 95, comprenant des honoraires, par 1’215 fr., auxquels s’ajoutent les débours forfaitaires, par 24 fr. 30, une vacation à 120 fr. et la TVA sur le tout, par 104 fr. 65. Vu l’issue de la cause, les frais de la procédure d'appel, par 7’461 fr. 65, comprenant l’émolument de jugement et d’audience, par 2’820 fr. (art. 21 al. 1 et 2 TFIP, et les indemnités dues au défenseur d’office, par 3'177 fr. 70, et au conseil juridique gratuit, par 1'463 fr. 95, seront mis à la charge d’A.Q.________, qui succombe (art. 428 al. 1 CPP). A.Q.________ sera tenue de rembourser à l’Etat le montant des indemnités en faveur de son défenseur d’office et du conseil juridique gratuit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