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PE19.017643 vom 20. September 2019</w:t>
      </w:r>
    </w:p>
    <w:p>
      <w:r>
        <w:t>VD Tribunal cantonal, 2019-09-20, FR</w:t>
      </w:r>
    </w:p>
    <w:p>
      <w:r>
        <w:rPr>
          <w:b/>
        </w:rPr>
        <w:t xml:space="preserve">Quelle: </w:t>
      </w:r>
      <w:r>
        <w:t>https://mcp.opencaselaw.ch/entscheid/vd_gerichte_PE19.017643</w:t>
      </w:r>
    </w:p>
    <w:p>
      <w:r>
        <w:t>FR: VD_GERICHTE PE19.017643 du 20 septembre 2019</w:t>
      </w:r>
    </w:p>
    <w:p>
      <w:r>
        <w:t>IT: VD_GERICHTE PE19.017643 del 20 settembre 2019</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prévenu qui a qualité pour recourir (art. 222 et 382 al. 1 CPP), et dans les formes prescrites (art. 385 al. 1 CPP), le recours de J.________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w:t>
      </w:r>
    </w:p>
    <w:p>
      <w:r>
        <w:t>- 4 -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w:t>
      </w:r>
    </w:p>
    <w:p>
      <w:r>
        <w:t>Le recourant conteste l'existence de soupçons suffisants à son encontre. Il nie toute participation au brigandage commis à l'encontre de X.________ et V.________, dès lors qu'il n'était pas présent lors de leur agression et que, si Z.________ et O.________ tendaient à l'impliquer comme instigateur, lui-même n'aurait eu aucun contact direct avec ces derniers et D.________ le mettrait hors de cause, se désignant lui-même comme étant à l'origine dudit brigandage. Il reconnaît que le fait d'avoir accepté la somme de 70 fr. était stupide, mais soutient que cela ne ferait pas de lui un coauteur, un complice ou un instigateur.</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3.2; ATF 137 IV 122 consid. 3.2; TF 1B_372/2017 du 26 septembre 2017 consid. 2.1; Schmocker, op. cit., n.</w:t>
      </w:r>
    </w:p>
    <w:p>
      <w:r>
        <w:rPr>
          <w:b/>
        </w:rPr>
        <w:t>E. 3.2</w:t>
      </w:r>
    </w:p>
    <w:p>
      <w:r>
        <w:t>En l'espèce, à ce stade, il apparaît que le recourant a participé au brigandage de X.________ et de V.________ en servant d'appât. Il reconnait en effet avoir discuté avec D.________ avant les faits, qu'il a été question à ce moment de voler ("carotter") l'argent qui serait remis aux futures victimes, et l'avoir à nouveau rencontré immédiatement après les faits et s'être fait remettre une partie du butin. Il nie malgré tout avoir adhéré au projet de brigandage, qu'il attribue exclusivement à D.________. Cela étant, le recourant ne peut pas se prévaloir des déclarations du prénommé pour se défendre de toute participation. Dans son audition d'arrestation du 5 septembre 2019, D.________ a déclaré que J.________ avait d'abord refusé (ndr : que D.________ vole les victimes), puis qu'il avait dit "oui, d'accord" lorsqu'il lui avait été proposé de lui remettre 70 fr., de sorte que la sacoche lui reviendrait finalement pour le prix de 250 francs (cf. PV aud. d'arrestation de D.________ du 5 septembre 2019, l. 167 ss). Dans cette même audition, D.________ a exposé que J.________ l'avait contacté pour lui donner le signal du "carottage" en lui écrivant un message (l. 62 ss). Dans le milieu où évoluent les prévenus, le terme "carotter" signifie "dépouiller" (cf. PV aud. de O.________ du 5 septembre 2019, l. 51). Or, on ne voit pas comment D.________ et le recourant auraient pu envisager – dans la conversation qu'ils ont eue avant les faits – que les deux victimes soient délestées de leur argent autrement que par la violence et/ou la contrainte. Partant, contrairement à ce que prétend l'intéressé, les déclarations de D.________ permettent – en sus de celles de Z.________ et de O.________, dont il n'appartient pas au juge de la détention d'apprécier la crédibilité – de le soupçonner d'avoir planifié le recours à des actes de violence pour délester les victimes de leur argent et d'avoir</w:t>
      </w:r>
    </w:p>
    <w:p>
      <w:r>
        <w:t>- 6 - joué le rôle qui était le sien dans le plan en allant faire la transaction, en informant ses complices, puis en touchant sa part du butin. Un tel comportement pourrait revêtir la qualification de brigandage sous une forme de participation ou une autre. A ce stade de la procédure, les soupçons qui pèsent contre le prévenu sont dès lors concrets et suffisants pour justifier sa détention. 4. Le recourant se défend en outre de présenter un risque de récidive, malgré ses antécédents, dans la mesure où les faits dont il est actuellement soupçonné ne seraient pas avérés. 4.1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4.2 En l'espèce, âgé de 21 ans, le recourant a déjà été condamné en tant que mineur en 2016 à une peine privative de liberté de deux mois, dont un mois avec sursis, pour lésions corporelles simples, vol, dommages à la propriété, menaces, vol d'usage d'un véhicule automobile, conduite d'un véhicule soustrait, conduite sans permis de conduire et contravention à la loi sur le transport. Depuis qu'il est majeur, il a été condamné en 2017 à une peine privative de liberté ferme de six mois pour lésions corporelles</w:t>
      </w:r>
    </w:p>
    <w:p>
      <w:r>
        <w:t>- 7 - simples qualifiées (objet dangereux) et en 2018 à 30 jours-amende à 30 fr. et à 300 fr. d'amende pour violation des règles de la circulation routière, conduite d'un véhicule défectueux et conduite sans permis. Il apparaît dès lors que le prévenu a déjà été condamné pour toutes sortes d'infractions, dont certaines étaient dirigées contre l'intégrité corporelle d'autrui, et qu'il n'hésite pas à violer la loi, malgré les sanctions prononcées à son encontre. Par ailleurs, les faits pour lesquels il est mis en cause révèlent une aggravation de son activité délictueuse. Dans ces circonstances, force est de constater que le pronostic est défavorable. Le recourant n'invoque du reste aucun argument susceptible de remettre en cause ce constat, mais se borne à contester toute implication dans le brigandage du 4 septembre 2019. C'est dès lors à juste titre que le Tribunal des mesures de contrainte a retenu l'existence d'un risque de récidive. 5. Les conditions posées par l'art. 221 CPP étant alternatives (TF 1B_242/2016 du 21 juillet 2016 consid. 5), l’existence d'un risque de réitération dispense l'autorité de céans d'examiner en détail si le prévenu présente également un risque de collusion, qui paraît toutefois à l'évidence également réalisé à ce stade précoce de l'enquête, pour les motifs évoqués dans l'ordonnance entreprise. Pour le surplus, aucune mesure de substitution n'est susceptible de parer au risque retenu – le recourant n'en propose du reste aucune – et, compte tenu de la peine menace pour un brigandage, la détention provisoire de deux mois ordonnée est largement proportionnée dans sa durée (art. 212 al. 3 et 237 CPP). 6. Au vu de ce qui précède, le recours, manifestement mal fondé, doit être rejeté sans échange d'écritures (art. 390 al. 2 CPP) et l'ordonnance du 7 septembre 2019 confirmée.</w:t>
      </w:r>
    </w:p>
    <w:p>
      <w:r>
        <w:t>- 8 - Les frais de la procédure de recours, constitués en l’espèce de l’émolument d'arrêt, par 880 fr. (art. 20 al. 1 TFIP [Tarif des frais judiciaires de procédure et indemnités en matière pénale du 28 septembre 2010; BLV 312.03.1]), ainsi que des frais imputables à la défense d’office (art. 422 al. 1 et 2 let. a CPP), fixés à 360 fr., auxquels il convient d’ajouter des débours forfaitaires à concurrence de 2% (art. 3bis al. 1 RAJ [Règlement sur l'assistance judiciaire en matière civile du 7 décembre 2010; BLV 211.02.3], applicable par renvoi de l’art. 26b TFIP), par 7 fr. 20, plus la TVA par 28 fr. 30, soit à 395 fr. 50 au total, seront mis à la charge du recourant, qui succombe (art. 428 al. 1 CPP). J.________ ne sera tenu de rembourser à l'Etat l'indemnité allouée à son défenseur d'office que lorsque sa situation financière le permettra. Par ces motifs, la Chambre des recours pénale prononce : I. Le recours est rejeté. II. L'ordonnance du 7 septembre 2019 est confirmée. III. L’indemnité allouée au défenseur d’office de J.________ est fixée à 395 fr. 50 (trois cent nonante-cinq francs et cinquante centimes). IV. Les frais d'arrêt, par 880 fr. (huit cent huitante francs), ainsi que l'indemnité due au défenseur d'office de J.________, par 395 fr. 50 (trois cent nonante-cinq francs et cinquante centimes), sont mis à la charge de ce dernier. V. Le remboursement à l’Etat de l’indemnité allouée au chiffre III ci-dessus ne sera exigible que pour autant que la situation financière de J.________ le permette.</w:t>
      </w:r>
    </w:p>
    <w:p>
      <w:r>
        <w:t>- 9 - VI. L’arrêt est exécutoire. Le président : Le greffier : Du Le présent arrêt, dont la rédaction a été approuvée à huis clos, est notifié, par l'envoi d'une copie complète, à : - Me Raphaël Tatti, avocat (pour J.________), - Ministère public central, et communiqué à : - Mme la Présidente du Tribunal des mesures de contrainte, - M. le Procureur cantonal Strada, - Service de la population, - M. V.________,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- 10 - pénal fédéral dans un délai de dix jours dès la notification de l’arrêt attaqué (art. 396 al. 1 CPP). Le greffier :</w:t>
      </w:r>
    </w:p>
    <w:p>
      <w:r>
        <w:rPr>
          <w:b/>
        </w:rPr>
        <w:t>E. 8</w:t>
      </w:r>
    </w:p>
    <w:p>
      <w:r>
        <w:t>ad art. 221 CPP).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w:t>
      </w:r>
    </w:p>
    <w:p>
      <w:r>
        <w:t>- 5 -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précité; ATF 124 I 208 consid. 3; TF 1B_308/2018 du 17 juillet 2018 consid. 2.1; Forster, in : Niggli/Heer/Wiprächtiger [éd.], Basler Kommentar, Schweizerische Strafprozessordnung, 2e éd., Bâle 2014, n. 3 ad art. 221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