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PE19.017633 vom 17. Dezember 2019</w:t>
      </w:r>
    </w:p>
    <w:p>
      <w:r>
        <w:t>VD Tribunal cantonal, 2019-12-17, FR</w:t>
      </w:r>
    </w:p>
    <w:p>
      <w:r>
        <w:rPr>
          <w:b/>
        </w:rPr>
        <w:t xml:space="preserve">Quelle: </w:t>
      </w:r>
      <w:r>
        <w:t>https://mcp.opencaselaw.ch/entscheid/vd_gerichte_PE19.017633</w:t>
      </w:r>
    </w:p>
    <w:p>
      <w:r>
        <w:t>FR: VD_GERICHTE PE19.017633 du 17 décembre 2019</w:t>
      </w:r>
    </w:p>
    <w:p>
      <w:r>
        <w:t>IT: VD_GERICHTE PE19.017633 del 17 dicembre 2019</w:t>
      </w:r>
    </w:p>
    <w:p>
      <w:pPr>
        <w:pStyle w:val="Heading2"/>
      </w:pPr>
      <w:r>
        <w:t>Erwägungen</w:t>
      </w:r>
    </w:p>
    <w:p>
      <w:r>
        <w:rPr>
          <w:b/>
        </w:rPr>
        <w:t>E. 1</w:t>
      </w:r>
    </w:p>
    <w:p>
      <w:r>
        <w:t>Interjeté dans les formes et délais légaux (art. 385 al. 1 et 396 al. 1 CPP [Code de procédure pénale suisse du 5 octobre 2007 ; RS 312.0]) contre une décision du tribunal des mesures de contrainte dans un cas prévu par le CPP (art. 393 al. 1 let. c CPP), par un détenu qui a qualité pour recourir (art. 222 et 382 al. 1 CPP), le recours d’U.________ est recevable.</w:t>
      </w:r>
    </w:p>
    <w:p>
      <w:r>
        <w:rPr>
          <w:b/>
        </w:rPr>
        <w:t>E. 2</w:t>
      </w:r>
    </w:p>
    <w:p>
      <w:r>
        <w:t>La détention provisoire et la détention pour des motifs de sûreté sont ordonnées pour la durée d’une procédure déterminée (cf. art. 220 CPP). Dès lors, si un prévenu fait l’objet de plusieurs procédures pénales en même temps, la question de la détention provisoire ou de la détention pour des motifs de sûreté se pose indépendamment dans chacune d’elles. En outre, le tribunal des mesures de contrainte ne peut ordonner la détention provisoire que sur réquisition du ministère public ; il ne peut pas se saisir d’office (cf. art. 224 al. 2 CPP). Partant, saisi d’une demande de détention provisoire ou de détention pour des motifs de sûreté formée dans une procédure donnée, le tribunal des mesures de contrainte doit exclusivement examiner si les conditions de la détention sont réunies dans la cause particulière pour laquelle la demande a été présentée ; il ne peut pas ordonner la détention pour les besoins d’une autre procédure. En l’espèce, la demande de prolongation de la détention</w:t>
      </w:r>
    </w:p>
    <w:p>
      <w:r>
        <w:t>- 6 - provisoire a été formée pour les besoins de la procédure PE19.017633. C’est donc exclusivement pour cette cause qu’il y a lieu d’examiner si la prolongation ordonnée est conforme au droit.</w:t>
      </w:r>
    </w:p>
    <w:p>
      <w:r>
        <w:rPr>
          <w:b/>
        </w:rPr>
        <w:t>E. 3.1</w:t>
      </w:r>
    </w:p>
    <w:p>
      <w:r>
        <w:t>Le recourant ne conteste pas l’existence de soupçons suffisants dans la cause PE19.017633, se bornant à cet égard à faire valoir que le Ministère public n’aurait pas fondé sa demande de prolongation sur les soupçons d’infractions pénales commises dans la nuit du 30 au 31 juillet 2019. Pour le surplus, il remet en cause sa participation dans le brigandage commis au préjudice d’Y.________ dans la nuit du 2 au 3 juillet 2019 (PE19.017192), et soutient que les actes qui lui sont reprochés dans la cause AM19.014764 ne seraient pour leur part pas suffisamment graves pour justifier un placement en détention provisoire.</w:t>
      </w:r>
    </w:p>
    <w:p>
      <w:r>
        <w:rPr>
          <w:b/>
        </w:rPr>
        <w:t>E. 3.2</w:t>
      </w:r>
    </w:p>
    <w:p>
      <w:r>
        <w:t>; ATF 124 I 208 consid. 3 ; TF 1B_308/2018 du 17 juillet 2018 consid. 2.1).</w:t>
      </w:r>
    </w:p>
    <w:p>
      <w:r>
        <w:rPr>
          <w:b/>
        </w:rPr>
        <w:t>E. 3.3</w:t>
      </w:r>
    </w:p>
    <w:p>
      <w:r>
        <w:t>En l’espèce, le recourant se méprend sur le fait que le Ministère public n’aurait pas fondé sa demande de prolongation de la détention provisoire sur les faits de la cause PE19.017633. En effet, cette demande, du 18 novembre 2019, renvoie expressément au descriptif des faits de la demande de détention provisoire initiale du 1er août 2019, qui détaille les faits reprochés à U.________ pour la nuit du 30 au 31 juillet 2019. Dans le cadre de la présente procédure, les soupçons de commission d’un brigandage par le prévenu sont suffisants. En effet, celui- ci est clairement mis en cause par ses comparses E.________ et X.________, qui ont fait des déclarations globalement concordantes. En substance, U.________, muni d’une cagoule, se serait le premier approché de la victime R.________ en exhibant un pistolet soft air, lui aurait ordonné de s’asseoir et les trois comparses lui auraient alors pris son porte-monnaie, ses chaussures ainsi que son téléphone. Devant le refus de la victime de lui donner le code servant à déverrouiller son téléphone portable, U.________ lui aurait en outre asséné à tout le moins une gifle. On relèvera encore que la police a interpellé les trois suspects à proximité de l’endroit où a été découvert une partie du butin, ainsi qu’un spray au poivre et un couteau pliable.</w:t>
      </w:r>
    </w:p>
    <w:p>
      <w:r>
        <w:rPr>
          <w:b/>
        </w:rPr>
        <w:t>E. 4</w:t>
      </w:r>
    </w:p>
    <w:p>
      <w:r>
        <w:t>Le recourant conteste l’existence d’un risque de collusion.</w:t>
      </w:r>
    </w:p>
    <w:p>
      <w:r>
        <w:rPr>
          <w:b/>
        </w:rPr>
        <w:t>E. 4.1</w:t>
      </w:r>
    </w:p>
    <w:p>
      <w:r>
        <w:t>Selon l’art. 221 al. 1 let. b CPP, la détention provisoire ne peut être ordonnée que lorsque le prévenu est fortement soupçonné d'avoir commis un crime ou un délit et qu'il y a sérieusement lieu de craindre qu'il</w:t>
      </w:r>
    </w:p>
    <w:p>
      <w:r>
        <w:t>- 8 -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4.2</w:t>
      </w:r>
    </w:p>
    <w:p>
      <w:r>
        <w:t>Dans sa demande de prolongation de la détention provisoire du 18 novembre 2019, le Ministère public a motivé l’existence d’un risque de collusion essentiellement – voire exclusivement – par le risque qu’une remise en liberté ferait courir pour le succès des mesures d’instruction en cours sur les faits survenus dans la nuit du 2 au 3 juillet 2019, soit sur les faits qui sont l’objet de la procédure PE19.017192. Ce risque, qui aurait pu être invoqué à l’appui d’une demande de détention provisoire dans la cause PE19.017192, ne saurait en revanche justifier une prolongation de la détention provisoire dans la cause PE19.017633. Pour le surplus, la Procureure n’a pas expliqué quelles mesures d’instruction seraient encore en cours pour élucider les faits survenus dans la nuit du 30 au 31 juillet 2019, ni en quoi elles pourraient être compromises par une remise en liberté du prévenu. On ne saurait dès lors retenir l’existence d’un risque de collusion dans la présente cause.</w:t>
      </w:r>
    </w:p>
    <w:p>
      <w:r>
        <w:rPr>
          <w:b/>
        </w:rPr>
        <w:t>E. 5</w:t>
      </w:r>
    </w:p>
    <w:p>
      <w:r>
        <w:t>- 9 -</w:t>
      </w:r>
    </w:p>
    <w:p>
      <w:r>
        <w:rPr>
          <w:b/>
        </w:rPr>
        <w:t>E. 5.1</w:t>
      </w:r>
    </w:p>
    <w:p>
      <w:r>
        <w:t>Dans sa demande de prolongation du 18 novembre 2019, le Ministère public a également invoqué l’existence d’un risque de réitération. Le Tribunal des mesures de contrainte, qui a retenu l’existence d’un risque de collusion, ne s’est pas prononcé sur l’existence de ce risque. Cela étant, dans son acte de recours, U.________ fait valoir les motifs pour lesquels le risque de réitération devrait, selon lui, être écarté. La Cour de céans peut dès lors examiner s’il existe un risque de réitération sans avoir à interpeller préalablement le recourant sur cette question.</w:t>
      </w:r>
    </w:p>
    <w:p>
      <w:r>
        <w:rPr>
          <w:b/>
        </w:rPr>
        <w:t>E. 5.2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Les infractions antérieures doivent être des crimes ou des délits graves perpétrés contre les mêmes biens juridiques que ceux concernés par l’instruction en cours ou similaires à ceux-ci. Ces infractions antérieures peuvent avoir fait l’objet de procédures pénales closes ; elles peuvent aussi faire l’objet de procédures encore pendantes, dans laquelle se pose la question de la détention provisoire, lorsqu’il existe une vraisemblance confinant à la certitude que le prévenu a commis de tels actes. La preuve que le prévenu a commis une infraction pénale est réputée faite en cas d’aveu crédible ou de preuves accablantes (ATF 143 IV consid. 2.3.1 et les réf. citées, JdT 2017 IV 262). Dans l’hypothèse où les risques se révèlent extrêmement élevés, il est possible de renoncer complètement à l’exigence des infractions antérieures (ibid.).</w:t>
      </w:r>
    </w:p>
    <w:p>
      <w:r>
        <w:t>- 10 -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143 IV 9 consid. 2.6 et 2.7).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aggravés, tels que l'escroquerie par métier (art. 146 al. 2 CP [Code pénal suisse du 21 décembre 1937 ; RS 311.0]) ou le vol en bande (art. 139 ch. 3 CP) qui, du point de vue des victimes, compromettent gravement leur sécurité personnelle (cf. en ce sens ATF 143 IV 9 consid. 2.7 ; TF 1B_219/2019 du 4 juin 2019 consid. 3.1 ; TF 1B_32/2017 du 4 mai 2017 consid. 3.3.5).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 TF 1B_455/2016 du 9 décembre 2016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w:t>
      </w:r>
    </w:p>
    <w:p>
      <w:r>
        <w:t>- 11 -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1B_219/2019 du 4 juin 2019 consid. 3.1).</w:t>
      </w:r>
    </w:p>
    <w:p>
      <w:r>
        <w:rPr>
          <w:b/>
        </w:rPr>
        <w:t>E. 5.3</w:t>
      </w:r>
    </w:p>
    <w:p>
      <w:r>
        <w:t>En l’occurrence, le recourant conteste le brigandage qu’il est, parallèlement à la présente cause, prévenu d’avoir commis dans la nuit du 2 au 3 juillet 2019. Il relève que la victime, Y.________, l’aurait mis hors de cause lors de son audition du 22 octobre 2019, qu’il ne serait mis en cause que par ses prétendus comparses et que les déclarations d’I.________ comporteraient des incohérences. Ces arguments ne résistent pas à l’examen. Le Ministère public soupçonne en effet E.________ et B.________ d’être allés chercher la victime Y.________ à [...] et d’être allés ensuite récupérer le recourant et T.________ à [...]. Le fait qu’Y.________ ait déclaré, le 22 octobre 2019, que seuls E.________ et B.________ étaient venus le chercher à [...] ne réfute donc en rien les soupçons du Parquet. La participation du recourant au brigandage qui paraît avoir été commis au préjudice d’Y.________ dans la nuit du 2 au 3 juillet 2019 est en outre confirmée par les déclarations, sur ce point concordantes, de T.________ et de B.________ Ces deux éléments suffisent pour que son implication dans le brigandage commis dans la nuit du 2 au 3 juillet 2019 apparaisse hautement vraisemblable, voire pour qu’elle confine à la certitude. Partant, sur la base de cet antécédent, et compte tenu de la montée en puissance que paraissent démontrer les faits survenus dans la nuit du 30 au 31 juillet 2019, il y a lieu de craindre que, s’il était remis en liberté, le recourant recommencerait tôt ou tard à commettre des actes de violence. La prolongation de la détention provisoire est dès lors justifiée par un risque de réitération.</w:t>
      </w:r>
    </w:p>
    <w:p>
      <w:r>
        <w:rPr>
          <w:b/>
        </w:rPr>
        <w:t>E. 6.1</w:t>
      </w:r>
    </w:p>
    <w:p>
      <w:r>
        <w:t>Le recourant invoque enfin une violation du principe de la proportionnalité. Il soutient que les mesures de substitution proposées n’auraient pas été réellement examinées par le Tribunal des mesures de</w:t>
      </w:r>
    </w:p>
    <w:p>
      <w:r>
        <w:t>- 12 - contrainte alors que leur mise en œuvre serait propre à sauvegarder les différents intérêts en jeu.</w:t>
      </w:r>
    </w:p>
    <w:p>
      <w:r>
        <w:rPr>
          <w:b/>
        </w:rPr>
        <w:t>E. 6.2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6.3</w:t>
      </w:r>
    </w:p>
    <w:p>
      <w:r>
        <w:t>En l’espèce, aucune mesure de substitution n’est propre à remédier concrètement au risque de réitération constaté, étant précisé que celles proposées par le recourant, dont en particulier celle consistant à lui interdire de prendre contact avec certaines personnes, visaient à contenir un risque de collusion. Au surplus, au vu de la peine encourue pour un brigandage, la détention que le recourant aura subie au terme de la prolongation litigieuse, soit sept mois, ne sera pas encore proche d’égaler celle qui sera vraisemblablement prononcée s’il devait être reconnu coupable des faits qui lui sont reprochés. Partant, le principe de la proportionnalité est respecté (cf. art. 212 al. 3 CPP).</w:t>
      </w:r>
    </w:p>
    <w:p>
      <w:r>
        <w:rPr>
          <w:b/>
        </w:rPr>
        <w:t>E. 7</w:t>
      </w:r>
    </w:p>
    <w:p>
      <w:r>
        <w:t>Il résulte de ce qui précède que le recours, manifestement mal fondé, doit être rejeté sans échange d’écritures (art. 390 al. 2 CPP) et l’ordonnance querellée confirmée.</w:t>
      </w:r>
    </w:p>
    <w:p>
      <w:r>
        <w:t>- 13 - Le défenseur d’office d’U.________ a produit un relevé de ses opérations faisant état d’une activité de 3,7 heures (3 heures et 42 minutes) pour la rédaction et l’envoi de son recours (P. 41/3). Il n’y a pas lieu de s’en écarter. Ainsi, c’est une indemnité de 731 fr. 60, correspondant à 3,7 heures d’activité au tarif horaire de 180 fr., par 666 fr., des débours, limités forfaitairement à 2 % du défraiement hors taxe (art. 3bis al. 1 RAJ [Règlement sur l’assistance judiciaire en matière civile du 7 décembre 2010 ; BLV 211.02.3], applicable par renvoi de l’art. 26b TFIP [Tarif des frais de procédure et indemnités en matière pénale du 28 septembre 2010 ; BLV 312.03.1]), par 13 fr. 30, et la TVA, par 52 fr. 30, qui sera allouée à Me Nathanaël Pétermann. Les frais de la procédure de recours, constitués de l'émolument d'arrêt, par 1'320 fr. (art. 20 al. 1 TFIP), et des frais imputables à la défense d'office (art. 422 al. 1 et 2 let. a CPP), par 731 fr. 60, seront mis à la charge du recourant, qui succombe (art. 428 al. 1, 1re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29 novembre 2019 est confirmée. III. L’indemnité allouée au défenseur d’office d’U.________ est fixée à 731 fr. 60 (sept cent trente et un francs et soixante centimes). IV. Les frais d’arrêt, par 1'320 fr. (mille trois cent vingt francs), ainsi que l’indemnité due au défenseur d’office d’U.________,</w:t>
      </w:r>
    </w:p>
    <w:p>
      <w:r>
        <w:t>- 14 - par 731 fr. 60 (sept cent trente et un francs et soixante centimes), sont mis à la charge de ce dernier. V. Le remboursement à l’Etat de l'indemnité allouée au chiffre III ci-dessus ne sera exigible que pour autant que la situation financière d’U.________ le permette. VI. L’arrêt est exécutoire. Le président : La greffière : Du Le présent arrêt, dont la rédaction a été approuvée à huis clos, est notifié, par l'envoi d'une copie complète, à : - Me Nathanaël Pétermann, avocat (pour U.________), - Ministère public central, et communiqué à : - Mme la Présidente du Tribunal des mesures de contrainte, - Mme la Procureure cantonale Strada, - M. R.________, - M. Y.________,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- 15 -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