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PE19.017427 vom 9. Juni 2023</w:t>
      </w:r>
    </w:p>
    <w:p>
      <w:r>
        <w:t>VD Tribunal cantonal, 2023-06-09, FR</w:t>
      </w:r>
    </w:p>
    <w:p>
      <w:r>
        <w:rPr>
          <w:b/>
        </w:rPr>
        <w:t xml:space="preserve">Quelle: </w:t>
      </w:r>
      <w:r>
        <w:t>https://mcp.opencaselaw.ch/entscheid/vd_gerichte_PE19.017427</w:t>
      </w:r>
    </w:p>
    <w:p>
      <w:r>
        <w:t>FR: VD_GERICHTE PE19.017427 du 9 juin 2023</w:t>
      </w:r>
    </w:p>
    <w:p>
      <w:r>
        <w:t>IT: VD_GERICHTE PE19.017427 del 9 giugno 2023</w:t>
      </w:r>
    </w:p>
    <w:p>
      <w:pPr>
        <w:pStyle w:val="Heading2"/>
      </w:pPr>
      <w:r>
        <w:t>Erwägungen</w:t>
      </w:r>
    </w:p>
    <w:p>
      <w:r>
        <w:rPr>
          <w:b/>
        </w:rPr>
        <w:t>E. 5.1</w:t>
      </w:r>
    </w:p>
    <w:p>
      <w:r>
        <w:t>L’appelant fait grief aux premiers juges d’avoir retenu que l’atteinte subie par C.K.________ devait être qualifiée de lésions corporelles graves. Il soutient que ces blessures ne seraient pas de nature à créer un danger immédiat de mort, ne seraient pas constitutives d’une mutilation de son corps, de l’un de ses membres ou d’un organe important, ne seraient pas constitutives d’une incapacité de travail permanente et ne seraient pas constitutives d’une défiguration grave et permanente. Pour l’appelant, l’infraction de lésions corporelles simples devrait être retenue à son encontre. Le défenseur d’office de l’appelant cite à l’appui de son argumentation un arrêt de la Cour de céans, retenant qu’une blessure au visage ayant nécessité d’importants soins dentaires, soit en particulier l’extraction de quatre dents, de traitements de racines, ainsi que le port d’un appareil dentaire impliquant des difficultés pour la mastication, n’était pas constitutive de lésions corporelles graves (arrêt CAPE du 27 août 2021/359).</w:t>
      </w:r>
    </w:p>
    <w:p>
      <w:r>
        <w:rPr>
          <w:b/>
        </w:rPr>
        <w:t>E. 5.2</w:t>
      </w:r>
    </w:p>
    <w:p>
      <w:r>
        <w:t>D’après l’art. 122 CP, commet une lésion corporelle grave et sera puni d’une peine privative de liberté d’un à dix ans quiconque, intentionnellement : blesse une personne de façon à mettre sa vie en danger (al. 1) ; mutile le corps d’une personne, un de ses membres ou un de ses organes importants ou causé à une personne une incapacité de travail, une infirmité ou une maladie mentale permanentes, ou aura défiguré une personne d’une façon grave et permanente (al. 2) ; fait subir à une personne toute autre atteinte grave à l’intégrité corporelle ou à la santé physique ou mentale (al. 3).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w:t>
      </w:r>
    </w:p>
    <w:p>
      <w:r>
        <w:t>- 27 - et que la victime n’ait aucun espoir de récupération (TF 6B_422/2019 du 5 juin 2019 consid. 5.1 ;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 citées).</w:t>
      </w:r>
    </w:p>
    <w:p>
      <w:r>
        <w:rPr>
          <w:b/>
        </w:rPr>
        <w:t>E. 5.3</w:t>
      </w:r>
    </w:p>
    <w:p>
      <w:r>
        <w:t>En préambule, il est relevé que, dans l’arrêt de la CAPE cité par l’appelant, la qualification juridique des faits, qui tombait sous le coup de l’infraction de lésions corporelles simples (art. 123 ch. 1 CP), n’était pas remise en cause. Par ailleurs, les lésions en question étaient les suivantes : « une tuméfaction de 4 x 3 cm et plusieurs dermabrasions au niveau du front, un hématome violacé sur la partie interne de l’orbite gauche, des tuméfactions ecchymotiques de la muqueuse buccale et des contusions au niveau du dos. Une radiographie a mis en évidence une fracture des os propres du nez. Le patient se plaignait également de nausées, de légers maux de tête, de douleurs à la mâchoire des deux côtés, de douleurs aux dents de devant et de douleurs lombaires droites. Un traitement antalgique a été prescrit de même qu’un arrêt de travail à 100% du 15 au 17 juillet 2019 » (ch. 2.1). Toute comparaison avec d’autres affaires présentant un état de fait distinct doit intervenir avec prudence et cela est d’autant plus vrai en l’espèce que, comme on le verra ci-après, le tableau</w:t>
      </w:r>
    </w:p>
    <w:p>
      <w:r>
        <w:t>- 28 - lésionnel n’est pas le même – et de loin – que celui présenté par C.K.________. En l’occurrence, G.________ a asséné à C.K.________ un violent coup de poing au niveau du thorax, puis un coup de pied dans les dents, qui ont entraîné cinq dents fracturées, plusieurs dents déstabilisées, cinq points de sutures à la lèvre et un volumineux hématome au dos de la main gauche. C.K.________ a suivi un traitement maxillo-facial lourd et handicapant, qui s’est déroulé sur plus d’un an. Des dents ont dû être extraites et elle a encore subi une greffe osseuse pour la pose de trois implants. Durant l’année qui a suivi les faits, C.K.________ a enduré pas moins de trois interventions chirurgicales et a subi une incapacité de travail du 2 septembre 2019 au 31 décembre 2019. D’ailleurs, les vis fixées dans sa mâchoire la font encore souffrir aujourd’hui, en particulier en cas de rhume. Au vu de ce qui précède, C.K.________ a subi des douleurs importantes, ainsi que de nombreuses visites chez le dentiste ou le médecin. Ce tableau lésionnel doit en définitive être qualifié de grave au sens de l’art. 122 CP, dès lors que, globalement, l’intéressée a encouru plusieurs opérations et présenté une pluralité d’atteintes, dont les effets se font encore sentir. Le grief invoqué à ce titre par l’appelant doit être rejeté.</w:t>
      </w:r>
    </w:p>
    <w:p>
      <w:r>
        <w:rPr>
          <w:b/>
        </w:rPr>
        <w:t>E. 6.1</w:t>
      </w:r>
    </w:p>
    <w:p>
      <w:r>
        <w:t>L’appelant estime que, lors de la fixation de la peine, les premiers juges n’auraient pas tenu compte du fait que sa famille et lui faisaient l’objet d’insultes à caractère raciste depuis des années, qu’il avait consommé de l’alcool à des fins festives dans le cadre de la fête d’anniversaire de son fils, qu’il avait été blessé lors de la rixe, qu’A.K.________ et B.K.________ avaient participé de manière active à la rixe dans l’intention d’en découdre physiquement avec lui et de le blesser et que l’infraction de lésions corporelles grave dans le cas 2.1 ne saurait être</w:t>
      </w:r>
    </w:p>
    <w:p>
      <w:r>
        <w:t>- 29 - retenue à son encontre. Il requiert une peine n’excédant pas 24 mois de peine privative de liberté.</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w:t>
      </w:r>
    </w:p>
    <w:p>
      <w:r>
        <w:t>- 30 - sévèrement que si les diverses infractions avaient fait l’objet d’un seul jugement (al. 2).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6B_776/2019 du 20 novembre 2019).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 2.2 ; ATF 138 IV 120 précité consid. 5.2). Si les sanctions envisagées concrètement ne sont pas du même genre, elles doivent être prononcées cumulativement. La peine privative de liberté et la peine pécuniaire ne sont pas des sanctions du même genre (ATF 144 IV 313 précité consid. 1.1.1 ; ATF 144 IV 217 précité, JdT 2018 IV 335 ; ATF 142 IV 265 précité consid. 2.3.2, JdT 2017 IV 129 ; TF 6B_776/2019 précité ; TF 6B_938/2019 du 18 novembre 2019).</w:t>
      </w:r>
    </w:p>
    <w:p>
      <w:r>
        <w:rPr>
          <w:b/>
        </w:rPr>
        <w:t>E. 6.3</w:t>
      </w:r>
    </w:p>
    <w:p>
      <w:r>
        <w:t>La Cour de céans constate que la peine a été fixée conformément à la culpabilité de l’appelant qui doit être qualifiée de très lourde. Il peut être renvoyé à cet égard à la motivation du jugement</w:t>
      </w:r>
    </w:p>
    <w:p>
      <w:r>
        <w:t>- 31 - attaqué (cf. jugement, pp. 36 et 37 ; art. 82 al. 4 CPP), qui est claire et convaincante. On mentionnera encore les antécédents lamentables de l’intéressé qui est manifestement un habitué des coups de sang, comme le démontre aussi l’accueil réservé à la police le jour en question. Par ailleurs, les arguments soulevés par l’appelant ne sont pas pertinents. En effet, la procédure ouverte pour les propos tenus par les intimés a fait l’objet d’une ordonnance de non-entrée en matière. A cela s’ajoute que l’alcool n’est en tout cas pas une excuse et que les premiers juges n’ont pas méconnu la participation d’A.K.________ et de B.K.________ à la bagarre, mais ont considéré qu’ils n’avaient fait que repousser l’attaque de G.________, le premier pour se défendre lui-même de l’agression qui le visait personnellement, le second pour s’interposer et protéger son père, puis sa mère. Le fait que l’appelant ait pu être blessé par ces comportements, qui ne sont pas punissables, ne lui est d’aucun secours. Au vu de ces éléments et pour des motifs de prévention spéciale, c’est à raison que le tribunal a considéré que seule une peine privative de liberté ferme entrait en ligne de compte pour réprimer les infractions commises par l’appelant. Sur la base de ce qui précède, l’infraction de lésions corporelles graves (cf. supra cas 2.1), qui constitue l’infraction principale, doit être réprimée par une peine privative de liberté de 22 mois. Conformément au principe d’aggravation découlant du concours d’infractions, cette peine sera majorée de 3 mois pour les lésions corporelles simples (cf. supra cas 2.1), de 3 mois pour la rixe (cf. supra cas 2.1), de 1 mois pour les dommages à la propriété (cf. supra cas 2.1) et de 1 mois pour les menaces (cf. supra cas 2.1 et 2.2). Par ailleurs, la peine pécuniaire ferme qui réprime les injures, ainsi que l’amende qui sanctionne les voies de fait, doivent également être confirmées.</w:t>
      </w:r>
    </w:p>
    <w:p>
      <w:r>
        <w:rPr>
          <w:b/>
        </w:rPr>
        <w:t>E. 7</w:t>
      </w:r>
    </w:p>
    <w:p>
      <w:r>
        <w:t>G.________ estime que, comme A.K.________ et B.K.________ devraient être condamnés pour rixe, une partie des frais de la procédure de première instance devrait être mise à leur charge. Dans la mesure où, comme on le verra ci-après (cf. infra consid. 8), l’appel est rejeté, il ne convient pas de revenir sur la répartition des frais de première instance.</w:t>
      </w:r>
    </w:p>
    <w:p>
      <w:r>
        <w:t>- 32 - En effet, condamné sur l’ensemble des faits, l’appelant doit supporter l’intégralité des frais de procédure.</w:t>
      </w:r>
    </w:p>
    <w:p>
      <w:r>
        <w:rPr>
          <w:b/>
        </w:rPr>
        <w:t>E. 8</w:t>
      </w:r>
    </w:p>
    <w:p>
      <w:r>
        <w:t>Au vu de ce qui précède, l’appel de G.________ doit être rejeté et le jugement entrepris entièrement confirmé. Selon la liste des opérations produite par Me Olivier Bloch, défenseur d’office de l’appelant, dont il n’y a pas lieu de s’écarter, c’est une indemnité de 2’982 fr. 55 qui lui sera allouée pour la procédure d’appel. Vu l’issue de la cause, les frais de la procédure d’appel, par 6’432 fr. 55, constitués en l’espèce de l’émolument d’audience et de jugement, par 3’450 fr. (art. 21 al. 1 TFIP), ainsi que de l’indemnité allouée à son défenseur d’office, seront mis à la charge de l’appelant, qui succombe (art. 428 al. 1 CPP). G.________ sera tenu de rembourser à l’Etat le montant de l’indemnité allouée à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