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PE19.017417 vom 10. Dezember 2019</w:t>
      </w:r>
    </w:p>
    <w:p>
      <w:r>
        <w:t>VD Tribunal cantonal, 2019-12-10, FR</w:t>
      </w:r>
    </w:p>
    <w:p>
      <w:r>
        <w:rPr>
          <w:b/>
        </w:rPr>
        <w:t xml:space="preserve">Quelle: </w:t>
      </w:r>
      <w:r>
        <w:t>https://mcp.opencaselaw.ch/entscheid/vd_gerichte_PE19.017417</w:t>
      </w:r>
    </w:p>
    <w:p>
      <w:r>
        <w:t>FR: VD_GERICHTE PE19.017417 du 10 décembre 2019</w:t>
      </w:r>
    </w:p>
    <w:p>
      <w:r>
        <w:t>IT: VD_GERICHTE PE19.017417 del 10 dicembre 2019</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auprès de l’autorité compétente (art. 13 LVCPP [loi d’introduction du Code de procédure pénale suisse du 19 mai 2009 ; BLV 312.01] ; art. 80 LOJV [loi d'organisation judiciaire du 12 septembre 1979 ; BLV 173.01]), par la partie plaignante qui a qualité pour recourir (art. 382 al. 1 CPP) et dans les formes prescrites (art. 385 al. 1 CPP), le recours est recevable.</w:t>
      </w:r>
    </w:p>
    <w:p>
      <w:r>
        <w:rPr>
          <w:b/>
        </w:rPr>
        <w:t>E. 2</w:t>
      </w:r>
    </w:p>
    <w:p>
      <w:r>
        <w:t>- 4 -</w:t>
      </w:r>
    </w:p>
    <w:p>
      <w:r>
        <w:rPr>
          <w:b/>
        </w:rPr>
        <w:t>E. 2.1</w:t>
      </w:r>
    </w:p>
    <w:p>
      <w:r>
        <w:t>Conformément à l'art. 310 al. 1 let. a CPP, le ministère public rend immédiatement – c'est-à-dire sans qu'une instruction soit ouverte – une ordonnance de non-entrée en matière lorsqu'il apparaît, à réception de la dénonciation (art. 301 ss CPP) ou de la plainte (Cornu, Commentaire romand, Code de procédure pénale suisse, Bâle 2011,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2.2</w:t>
      </w:r>
    </w:p>
    <w:p>
      <w:r>
        <w:t>En l'espèce, des doutes sont apparus concernant la capacité de discernement de la recourante et son aptitude à pouvoir se défendre seule. En effet, il ressort des rapports médicaux que X.________ présente des troubles cognitifs et de mémoire, de sorte que sa capacité de discernement semble altérée (P. 4/8/16, p. 8). La question de la qualité pour agir de la recourante peut toutefois demeurer ouverte, dès lors que l'ordonnance de non-entrée en matière est bien fondée, comme on le verra ci-après.</w:t>
      </w:r>
    </w:p>
    <w:p>
      <w:r>
        <w:t>- 5 - La recourante reproche au Procureur général d'avoir rejeté sa demande tendant à récuser l'ensemble des magistrats vaudois, en raison d'un prétendu complot dont elle serait la victime. Or, cette requête était manifestement abusive, puisque tel est le cas lorsque le requérant demande, sans distinction, la récusation de l'ensemble des magistrats d'un canton (cf. TF 6B_941/2017 du 29 décembre 2017 consid. 2.1 ; ATF 129 III 445 consid. 4.2.2). Quant à la gestion des 20'000 fr. que la recourante a reçu sur son compte le 20 juillet 2017, la curatrice R.________ a expliqué de manière claire et détaillée (P. 4/5) comment elle en avait utilisé une partie afin de payer diverses factures, dans le cadre du mandat de gestion qui lui a été confié par la Justice de paix. En tout état de cause, il n'existe pas le moindre début d'indice d'actes pénalement répréhensibles de la part de R.________ et d'éventuels complices. En l'absence d'élément constitutif d'une infraction pénale, c'est à bon droit que le Procureur général a rendu une ordonnance de non- entrée en matière.</w:t>
      </w:r>
    </w:p>
    <w:p>
      <w:r>
        <w:rPr>
          <w:b/>
        </w:rPr>
        <w:t>E. 3</w:t>
      </w:r>
    </w:p>
    <w:p>
      <w:r>
        <w:t>Il résulte de ce qui précède que le recours, manifestement mal fondé, doit être rejeté sans échange d’écritures (art. 390 al. 2 CPP) et l’ordonnance entreprise confirmée. Les frais de la procédure de recours, par 550 fr. (art. 20 al. 1 TFIP [Tarif des frais de procédure et indemnités en matière pénale du 28 septembre 2010 ; BLV 312.03.1]), seront pour la dernière fois laissés à la charge l'Etat. Par ces motifs, la Chambre des recours pénale prononce : I. Le recours est rejeté. II. L'ordonnance du 20 novembre 2019 est confirmée.</w:t>
      </w:r>
    </w:p>
    <w:p>
      <w:r>
        <w:t>- 6 - III. Les frais d'arrêt, par 550 fr. (cinq cent cinquante francs), sont laissés à la charge de l'Etat. IV. L’arrêt est exécutoire. Le président : La greffière : Du Le présent arrêt, dont la rédaction a été approuvée à huis clos, est notifié, par l'envoi d'une copie complète, à : - Mme X.________, - Ministère public central, et communiqué à : - M. le Procureur général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