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PE19.017270 vom 7. November 2023</w:t>
      </w:r>
    </w:p>
    <w:p>
      <w:r>
        <w:t>VD Tribunal cantonal, 2023-11-07, FR</w:t>
      </w:r>
    </w:p>
    <w:p>
      <w:r>
        <w:rPr>
          <w:b/>
        </w:rPr>
        <w:t xml:space="preserve">Quelle: </w:t>
      </w:r>
      <w:r>
        <w:t>https://mcp.opencaselaw.ch/entscheid/vd_gerichte_PE19.017270</w:t>
      </w:r>
    </w:p>
    <w:p>
      <w:r>
        <w:t>FR: VD_GERICHTE PE19.017270 du 7 novembre 2023</w:t>
      </w:r>
    </w:p>
    <w:p>
      <w:r>
        <w:t>IT: VD_GERICHTE PE19.017270 del 7 novembre 2023</w:t>
      </w:r>
    </w:p>
    <w:p>
      <w:pPr>
        <w:pStyle w:val="Heading2"/>
      </w:pPr>
      <w:r>
        <w:t>Erwägungen</w:t>
      </w:r>
    </w:p>
    <w:p>
      <w:r>
        <w:rPr>
          <w:b/>
        </w:rPr>
        <w:t>E. 5.1</w:t>
      </w:r>
    </w:p>
    <w:p>
      <w:r>
        <w:t>Il reste à fixer la peine.</w:t>
      </w:r>
    </w:p>
    <w:p>
      <w:r>
        <w:rPr>
          <w:b/>
        </w:rPr>
        <w:t>E. 5.2.1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w:t>
      </w:r>
    </w:p>
    <w:p>
      <w:r>
        <w:t>- 22 -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6B_434/2021 du 7 avril 2022 consid. 3.3).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w:t>
      </w:r>
    </w:p>
    <w:p>
      <w:r>
        <w:t>- 23 -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5.3</w:t>
      </w:r>
    </w:p>
    <w:p>
      <w:r>
        <w:t>En l’espèce, le Tribunal de police a en substance considéré que la culpabilité de la prévenue était importante, que les faits étaient graves, qu’elle n’avait pas hésité à s’en prendre à l’honneur par des injures, à la liberté par la violation de domicile ainsi que par les menaces et à créer un danger collectif par la tentative d’explosion. Le Tribunal a également rappelé les antécédents de l’appelante et a considéré qu’elle devait maintenant comprendre qu’il y avait des limites à ne pas dépasser. Enfin, il a été retenu à charge le concours d’infractions et le fait que l’appelante n’avait cessé de minimiser les faits et de se victimiser, arguant qu’elle était orientale, que c’était dans sa culture de s’énerver, que la police avait ajouté des choses fausses dans son audition et que la procureure avait voulu la salir en la mettant en prison. La Cour d’appel fait sienne cette analyse complète et convaincante des premiers juges. L’absence durable d’amendement de l’appelante est confirmée par ses propos tenus à l’audience de reprise de cause encore. Sous l’angle de la nouvelle qualification des faits, il doit être précisé que la culpabilité de la prévenue est liée à ses intentions dolosives et non au résultat de ses actes, ce qui est le propre du délit (ou crime) impossible. A décharge, on retiendra le désespoir de la prévenue, acculée à une situation financière difficile, ce qui n’aura toutefois que peu, voire pas, d’incidence sur la peine, vu le comportement extrêmement arrangeant des propriétaires jusque-là. Le Tribunal a infligé une peine pécuniaire (complémentaire à une autre datant de 2021) de 10 jours-amende à 10 fr. le jour avec sursis</w:t>
      </w:r>
    </w:p>
    <w:p>
      <w:r>
        <w:t>- 24 - durant quatre ans pour l’injure. Ce quantum s’avère adéquat et sera confirmée. Pour les autres infractions, le tribunal a considéré que, pour des motifs de prévention spéciale, une peine privative de liberté devait être fixée, des précédentes condamnations à des peines pécuniaires étant demeurées sans effet. Ce raisonnement peut être suivi, l’absence d’amendement de l’appelante étant, comme déjà relevé, confirmée par ses propos tenus à l’audience de reprise de cause encore. Le Tribunal n’a pas détaillé l’effet du concours. L’infraction la plus grave réside dans le crime impossible d’explosion qui justifie une peine privative de liberté de cinq mois. Cette peine sera ensuite augmentée, par l’effet du concours, de deux mois pour les menaces et d’un mois pour la violation de domicile. Les faits sont antérieurs à la condamnation de 2021, mais le genre de peine est différent, de sorte qu’il ne s’agit pas de fixer une peine complémentaire. S’agissant de l’octroi du sursis et de sa durée de quatre ans, la Cour d’appel fait sien le développement complet et convaincant des premiers juges (art. 82 al. 4 CPP ; jugement attaqué, p. 33 et 34). Enfin, l’amende de 1'000 fr. prononcée à titre de sanction immédiate pour tenir compte de l’absence de prise de conscience et de remise en question de la prévenue, exprimée par ses propos tenus à l’audience de reprise de cause encore, est adéquate. Elle sera donc confirmée dès lors qu’elle est conforme à l’art. 42 al. 4 CP.</w:t>
      </w:r>
    </w:p>
    <w:p>
      <w:r>
        <w:rPr>
          <w:b/>
        </w:rPr>
        <w:t>E. 6</w:t>
      </w:r>
    </w:p>
    <w:p>
      <w:r>
        <w:t>Vu l’issue de la cause, aucune indemnité au sens de l’art. 429 al. 1 let. c CPP ne sera allouée à H.________.</w:t>
      </w:r>
    </w:p>
    <w:p>
      <w:r>
        <w:rPr>
          <w:b/>
        </w:rPr>
        <w:t>E. 7</w:t>
      </w:r>
    </w:p>
    <w:p>
      <w:r>
        <w:t>En définitive, l’appel doit être rejeté et le jugement de première instance modifié d’office dans la mesure déjà décrite.</w:t>
      </w:r>
    </w:p>
    <w:p>
      <w:r>
        <w:t>- 25 - La présente reprise de cause n’a pas été favorable à la prévenue, qui, en dépit de la modification d’office du jugement de première instance, succombe tant sur le principe de ses condamnations que sur la quotité de la peine. Partant, les frais de la procédure d'appel antérieure à l’arrêt du Tribunal fédéral du 18 mars 2024, par 5’959 fr. 45, qui comprennent l'indemnité allouée au défenseur d'office prévue par le chiffre III du dispositif du jugement du 26 juin 2023, seront mis à sa charge vu l’issue de la procédure (art. 428 al. 1 CPP). En revanche, les frais de la procédure d'appel postérieure à l’arrêt du Tribunal fédéral du 18 mars 2024 seront laissés à la charge de l’Etat. Outre l’émolument de jugement (art. 422 al. 1 CPP), ces frais comprennent l'indemnité allouée au défenseur d'office à raison des opérations afférentes à la reprise de cause. L’indemnité d’office de Me Grégoire Rey pour la procédure de reprise de cause doit être fixée sur la base d’une durée d’activité d’avocat de 5 heures et 55 minutes (45 + 30 + 10 + 30 + 60 + 120 + 30 + 30 minutes) au tarif horaire de 180 fr., ainsi que d’une durée d’activité d’avocate stagiaire de 1 heure et 40 min au tarif horaire de 110 fr., étant précisé que la présence de la stagiaire à l’audience d’appel n’était pas indispensable et n’a dès lors pas à être rémunéré. Aux honoraires d’avocat de 1'065 fr. et à ceux de stagiaire de 183 fr. 35 doivent être ajoutés des débours forfaitaires au taux de 2 % et une vacation d’avocat à 120 fr. (art. 2 al. 1 let. a et b, 3bis al. 1 et al. 3 RAJ [règlement sur l’assistance judiciaire en matière civile du 7 décembre 2019 ; BLV 211.02.3], applicables par renvoi de l’art. 26b TFIP [tarif des frais de procédure et indemnités en matière pénale du 28 septembre 2010 ; BLV 312.03.1]). Les honoraires bruts s’élèvent ainsi à 1'393 fr. 30 (1'086 fr. 30 + 120 fr. + 187 fr.), montant auquel doit être ajouté la TVA au taux de 8,1 %. L’indemnité de défenseur d'office pour la procédure d'appel postérieure à l’arrêt du Tribunal fédéral du 18 mars 2024 doit ainsi être fixée à 1'506 fr. 15, TVA et débours inclus.</w:t>
      </w:r>
    </w:p>
    <w:p>
      <w:r>
        <w:t>- 26 - H.________ sera tenue de rembourser à l’Etat l’indemnité allouée à son défenseur d’office pour la procédure d'appel antérieure à l’arrêt du Tribunal fédéral du 18 mars 2024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