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PE19.016995 vom 18. Dezember 2019</w:t>
      </w:r>
    </w:p>
    <w:p>
      <w:r>
        <w:t>VD Tribunal cantonal, 2019-12-18, FR</w:t>
      </w:r>
    </w:p>
    <w:p>
      <w:r>
        <w:rPr>
          <w:b/>
        </w:rPr>
        <w:t xml:space="preserve">Quelle: </w:t>
      </w:r>
      <w:r>
        <w:t>https://mcp.opencaselaw.ch/entscheid/vd_gerichte_PE19.016995</w:t>
      </w:r>
    </w:p>
    <w:p>
      <w:r>
        <w:t>FR: VD_GERICHTE PE19.016995 du 18 décembre 2019</w:t>
      </w:r>
    </w:p>
    <w:p>
      <w:r>
        <w:t>IT: VD_GERICHTE PE19.016995 del 18 dicembre 2019</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- 6 - Interjeté dans le délai légal et dans les formes prescrites (art. 385 al. 1 CPP) auprès de l’autorité compétente, par la partie plaignante qui a qualité pour recourir (art. 382 al. 1 CPP), le recours de B.G.________, E.G.________ et V.________ est recevable.</w:t>
      </w:r>
    </w:p>
    <w:p>
      <w:r>
        <w:rPr>
          <w:b/>
        </w:rPr>
        <w:t>E. 2</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[ci-après : CR CPP],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- 7 -</w:t>
      </w:r>
    </w:p>
    <w:p>
      <w:r>
        <w:rPr>
          <w:b/>
        </w:rPr>
        <w:t>E. 3.1</w:t>
      </w:r>
    </w:p>
    <w:p>
      <w:r>
        <w:t>Les recourants se plaignent d’une appréciation arbitraire du rapport d’expertise graphologique du Dr N.________. Selon eux, le Ministère public aurait mal compris le raisonnement de l’expert. Ce dernier aurait notamment relevé qu’au niveau de l’aspect général, les signatures concordaient avec le spécimen de référence en ce qui concernait la lisibilité, l’inclinaison, la forme des mouvements et le dynamisme ; elles concordaient également en ce qui concernait la distribution de pression exercée sur l’instrument d’écriture ; enfin, au niveau général, elles ne concordaient pas avec les spécimens de référence en ce qui concernait le rapport longueur-hauteur. Sur le plan graphique, la comparaison de la forme et du mode de construction des éléments graphiques aurait permis de mettre en évidence des constructions morphologiques concordantes entre les signatures litigieuses et les spécimens de comparaison. Selon l’expert, la première hypothèse de travail, soit celle où les signatures attribuées à W.________ seraient de sa main, aurait un facteur de probabilité de 0,8. Pour les recourants, la Procureure aurait analysé de manière minimaliste et lacunaire le rapport d’expertise et commis une « erreur de logique » en considérant qu’il y avait une probabilité finale de</w:t>
      </w:r>
    </w:p>
    <w:p>
      <w:r>
        <w:rPr>
          <w:b/>
        </w:rPr>
        <w:t>E. 3.2.1</w:t>
      </w:r>
    </w:p>
    <w:p>
      <w:r>
        <w:t>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 [éd.], Petit commentaire, Code pénal, 2e éd., Bâle 2017, n. 18 ad art. 303 CP et les réf. citées). Est considéré comme innocent notamment celui qui a été libéré par jugement d’acquittement ou par le prononcé d’un non-lieu (ATF 136 IV 170 consid. 2.1 ; Dupuis et al., op. cit., n. 21 ad art. 303 CP et les réf.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w:t>
      </w:r>
    </w:p>
    <w:p>
      <w:r>
        <w:t>- 9 -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 TF 6B_32/2011 du 24 février 2011 consid. 1.1 ; Dupuis et al., op. cit., nn. 22-23 ad art. 303 CP).</w:t>
      </w:r>
    </w:p>
    <w:p>
      <w:r>
        <w:rPr>
          <w:b/>
        </w:rPr>
        <w:t>E. 3.2.2</w:t>
      </w:r>
    </w:p>
    <w:p>
      <w:r>
        <w:t>Selon l’art. 304 ch. 1 al. 1 CP, se rend coupable d’induction de la justice en erreur celui qui aura dénoncé à l’autorité une infraction qu’il savait ne pas avoir été commise. L’infraction est intentionnelle. L’auteur doit savoir que l’infraction dénoncée n’a pas été commise, le dol éventuel étant exclu (Dupuis et al., op. cit., n. 18 ad art. 304 CP).</w:t>
      </w:r>
    </w:p>
    <w:p>
      <w:r>
        <w:rPr>
          <w:b/>
        </w:rPr>
        <w:t>E. 3.2.3</w:t>
      </w:r>
    </w:p>
    <w:p>
      <w:r>
        <w:t>L'art. 307 al. 1 CP punit celui qui, étant témoin, expert, traducteur ou interprète en justice, aura fait une déposition fausse sur les faits de la cause, fourni un constat ou un rapport faux, ou fait une traduction fausse. Le faux témoignage réprime une mise en danger abstraite de la recherche de la vérité ; il n’est pas nécessaire, pour que l’infraction soit consommée, que le juge ait été influencé (Corboz, Les infractions en droit suisse, vol. II, 3e éd., Berne 2010, nn. 3-4 ad art. 307 CP). L'infraction suppose que l'auteur soit intervenu en l'une des qualités mentionnées par l’art. 307 CP,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Ne sont pas des déclarations sur les faits de la cause les opinions, les jugements de valeur, les suppositions et les</w:t>
      </w:r>
    </w:p>
    <w:p>
      <w:r>
        <w:t>- 10 - pures appréciations (Dupuis et al., op. cit., n. 13 ad art. 306 CP et n. 16 ad art. 307 CP ; Corboz, op. cit., n. 41 ad art. 307 CP et les réf.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26 juillet 2018/564 consid. 3.1.2 ; CREP 27 octobre 2011/470).</w:t>
      </w:r>
    </w:p>
    <w:p>
      <w:r>
        <w:rPr>
          <w:b/>
        </w:rPr>
        <w:t>E. 3.2.4</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TF 6B_446/2018 du 17 juillet 2018 consid. 2.1 et les réf. citées). L’astuce n'est toutefois pas réalisée si la dupe pouvait se protéger avec un minimum d'attention ou éviter l'erreur avec le minimum de prudence que l'on pouvait attendre d'elle (ATF 142 IV 153 ; ATF 135 IV 76 consid. 5.2 ; ATF 133 IV 256 consid. 4.4.3 ; ATF 128 IV 18 consid. 3a). Ce qu'on appelle communément « escroquerie au procès » est compris sans autre dans la définition générale de l'escroquerie. Se rend</w:t>
      </w:r>
    </w:p>
    <w:p>
      <w:r>
        <w:t>- 11 - coupable d'escroquerie celui qui, par une tromperie astucieuse, amène le tribunal à trancher en défaveur de la partie adverse (ATF 122 IV 197 consid. 2). Une simple indication fausse, dont la partie adverse peut contrôler l'exactitude sans grande peine, n'est pas à elle seule astucieuse ; le procédé auquel l'auteur a recours doit apparaître comme une machination (ATF 122 IV 197 consid. 3d). Il est nécessaire que le juge soit trompé astucieusement par la production de moyens de preuve falsifiés ou obtenus de manière illicite (Favre/Pellet/Stoudmann, Code pénal annoté, 3e éd., Lausanne 2011, n. 1.7 ad art.146 CP).</w:t>
      </w:r>
    </w:p>
    <w:p>
      <w:r>
        <w:rPr>
          <w:b/>
        </w:rPr>
        <w:t>E. 3.3</w:t>
      </w:r>
    </w:p>
    <w:p>
      <w:r>
        <w:t>En l’espèce, on peut regretter la teneur du rapport d’expertise du Dr N.________, dont les conclusions, très théoriques, paraissent difficilement accessibles à des personnes non avisées en matière de statistiques. Or, le rôle de l’expert est précisément d’éclairer le juge et non pas de le plonger dans des abîmes de perplexité. En revenant à l’essentiel et en procédant à une simple comparaison entre les signatures de W.________ figurant sur les déclarations litigieuses (P. 6/13) et celles figurant sur la lettre de licenciement du 24 février 2017 (P. 6/5) et la reconnaissance de dette de F.________ Sàrl du 24 février 2017 également (P. 6/8), on ne peut toutefois que constater que celles-ci ne semblent pas identiques. En particulier, à l’observation de la boucle supérieure caractérisant la signature en question, on peut dire que les paraphes figurant sur les déclarations de retrait d’opposition paraissent procéder d’un geste plus appliqué, alors que les autres auraient été rédigées plus directement. Cette hypothèse parle en faveur d’une imitation, ce qui semble somme toute logique dans le contexte du litige qui opposait W.________ et les époux G.________, qui, il convient de le rappeler, avaient conservé une clé des bureaux de F.________ Sàrl et, surtout, avaient intérêt à ce que les oppositions soient retirées. Quoi qu’il en soit, c’est à juste titre que, tant dans l’ordonnance de classement rendue en faveur de B.G.________ et E.G.________ que dans l’ordonnance ici contestée, le Ministère public a conclu que l’expertise ne permettait pas de lever les incertitudes entourant la signature litigieuse, l’expert n’ayant pas clairement dit que</w:t>
      </w:r>
    </w:p>
    <w:p>
      <w:r>
        <w:t>- 12 - celle-ci émanait de W.________. Au surplus, le rapport du Dr N.________ ayant servi de motivation au classement en faveur des époux G.________, il n’apparaît pas possible d’envisager la mise en œuvre d’une nouvelle expertise pour statuer dans le cadre de la présente procédure, qui porte sur le même complexe de faits. Dans ces circonstances, il est évident qu’aucune des infractions envisagées ne peut entrer en ligne de compte et c’est donc à bon droit que la Procureure a refusé d’entrer en matière sur la plainte déposée par B.G.________, E.G.________ et V.________. 4. 4.1 A l’appui de leur requête tendant à l’octroi de l’assistance judiciaire gratuite, les recourants invoquent la complexité de la cause sur le plan factuel – ce que la mauvaise lecture de l’expertise graphologique faite par le Ministère public démontrerait à elle seule – et sur le plan juridique, au vu de la nature des infractions envisagées. Leur indigence serait en outre établie par les pièces produites auprès de la Procureure. 4.2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1B_151/2016 du 1er juin 2016 consid. 2.2). Le législateur a sciemment limité l'octroi de l'assistance judiciaire aux cas où le plaignant peut faire valoir des prétentions civiles (ibid.). Il a ainsi tenu compte du fait que le monopole de la justice répressive est par</w:t>
      </w:r>
    </w:p>
    <w:p>
      <w:r>
        <w:t>- 13 - principe exercé par l'Etat, de sorte que l'assistance judiciaire de la partie plaignante se justifie en priorité pour que celle-ci puisse défendre ses conclusions civiles (Message relatif à l'unification du droit de la procédure pénale du 21 décembre 2005,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du 1er juin 2016 consid. 2.2 ; TF 6B_458/2015 du 16 décembre 2015 consid. 4.3.3 et les réf. citées). Les chances de succès de l'action civile doivent être examinées par l'autorité compétente lors du dépôt de la demande d'assistance judiciaire (Harari/Corminboeuf, in CR CPP,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w:t>
      </w:r>
    </w:p>
    <w:p>
      <w:r>
        <w:t>- 14 -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1B_245/2017 du 23 août 2017 consid. 1 ; TF 1B_151/2016 du 1er juin 2016 consid. 2.3). 4.3 En l’occurrence, la condition de l’indigence est effectivement réalisée, les époux G.________ cumulant des poursuites pour un montant de près de 2'400'000 fr. et des actes de défaut de biens pour plus de 1'200'000 francs (P. 5/2 et 5/4). On ne saurait non plus définir la cause de simple, vu la complication due à la teneur du rapport d’expertise. Cela étant, c’est à juste titre que la Procureure a considéré que les conclusions civiles étaient vouées à l’échec, compte tenu du flou qui subsiste dans cette affaire, qui était déjà connu des plaignants vu le classement intervenu en leur faveur, et qu’il ne sera pas possible de dissiper. La condition prescrite par l’art. 136 al. 1 let. b CPP n’étant pas réalisée, la requête d’assistance judiciaire doit être rejetée. 5. 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1'430 fr. (art. 20 al. 1 TFIP [Tarif des frais de procédure et indemnités en matière pénale du 28 septembre 2010 ; BLV 312.03.1]), seront mis à la charge des recourants, qui succombent (art. 428 al. 1, 1re phrase, CPP), solidairement entre eux. Par ces motifs, la Chambre des recours pénale prononce :</w:t>
      </w:r>
    </w:p>
    <w:p>
      <w:r>
        <w:t>- 15 - I. Le recours est rejeté. II. L’ordonnance du 10 octobre 2019 est confirmée. III. La requête d’assistance judiciaire gratuite est rejetée. IV. Les frais d’arrêt, par 1'430 fr. (mille quatre cent trente francs), sont mis à la charge de B.G.________, E.G.________ et V.________, solidairement entre eux. V. L’arrêt est exécutoire. Le président : La greffière : Du Le présent arrêt, dont la rédaction a été approuvée à huis clos, est notifié, par l'envoi d'une copie complète, à : - Me Romain Deillon, avocat (pour B.G.________, E.G.________ et V.________),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- 16 -</w:t>
      </w:r>
    </w:p>
    <w:p>
      <w:r>
        <w:rPr>
          <w:b/>
        </w:rPr>
        <w:t>E. 8</w:t>
      </w:r>
    </w:p>
    <w:p>
      <w:r>
        <w:t>sur 10 pour que l’on puisse scientifiquement dire que la signature serait de la main de W.________, la probabilité des propositions ne dépendant pas seulement des résultats de l’expertise mais aussi de la position initiale du preneur de décision – soit l’autorité pénale – sur les propositions, soit de la probabilité a priori. Ainsi, même dans l’hypothèse où le Ministère public aurait disposé d’informations lui permettant de douter fortement du fait que la signature soit de la main de W.________, soit avec une probabilité a priori de 10 %, la probabilité finale que la signature soit tout de même de la main de celui-ci, résultant de la combinaison avec le facteur 0,8 que l’expert avait arrêté, serait en définitive de près de 90 % (89,88 %). Il serait ainsi quasiment établi que W.________ est l’auteur des signatures litigieuses. Invoquant une violation du principe in dubio pro duriore, les recourants soutiennent que la Procureure aurait dû examiner l’infraction de faux témoignage, celle-ci pouvant être réalisée dès lors que W.________ aurait déclaré qu’il n’était pas l’auteur des signatures litigieuses. En outre,</w:t>
      </w:r>
    </w:p>
    <w:p>
      <w:r>
        <w:t>- 8 - il serait plus vraisemblable qu’invraisemblable que W.________ ait su que les époux G.________ n’étaient pas les auteurs de la signature litigieuse, de sorte qu’il aurait incombé au Ministère public d’envisager les infractions de dénonciation calomnieuse et d’induction de la justice en erreur, qui pourraient avoir été commises à la fois par l’agent d’affaires breveté D.________ (comme auteur, coauteur, voire auteur médiat) et par W.________ (comme auteur, coauteur, voire instigateur). Enfin, le Ministère public aurait dû instruire la question de savoir si les multiples manœuvres procédurales opérées par les prévenus n’auraient pas consisté à tromper l’autorité en vue de causer un préjudice patrimonial aux recourants, ce qui serait constitutif d’une escroquerie au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