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PE19.016639 vom 20. September 2019</w:t>
      </w:r>
    </w:p>
    <w:p>
      <w:r>
        <w:t>VD Tribunal cantonal, 2019-09-20, FR</w:t>
      </w:r>
    </w:p>
    <w:p>
      <w:r>
        <w:rPr>
          <w:b/>
        </w:rPr>
        <w:t xml:space="preserve">Quelle: </w:t>
      </w:r>
      <w:r>
        <w:t>https://mcp.opencaselaw.ch/entscheid/vd_gerichte_PE19.016639</w:t>
      </w:r>
    </w:p>
    <w:p>
      <w:r>
        <w:t>FR: VD_GERICHTE PE19.016639 du 20 septembre 2019</w:t>
      </w:r>
    </w:p>
    <w:p>
      <w:r>
        <w:t>IT: VD_GERICHTE PE19.016639 del 20 settembre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auprès de l’autorité compétente par la partie plaignante qui a qualité pour recourir (art. 382 al. 1 CPP), le recours de W.________ est recevable.</w:t>
      </w:r>
    </w:p>
    <w:p>
      <w:r>
        <w:t>- 5 -</w:t>
      </w:r>
    </w:p>
    <w:p>
      <w:r>
        <w:rPr>
          <w:b/>
        </w:rPr>
        <w:t>E. 2.1</w:t>
      </w:r>
    </w:p>
    <w:p>
      <w:r>
        <w:t>Le recourant reproche au Ministère public de ne pas avoir interrogé personnellement le prévenu et son collègue, [...], ni confronté leurs versions. Le Procureur n'aurait en outre pas tenu compte de la convergence de ses déclarations et de celles du collègue du prévenu selon lesquelles, après avoir fait usage de son spray au poivre, il était cloué au sol par une clé de bras et que c'est à ce moment-là et dans l'incapacité totale de se défendre qu'il aurait reçu des coups de coude et/ou de genou du prévenu. Dès lors, contrairement à ce qu'aurait prétendu ce dernier, il n'aurait pas pu lui donner des coups puisqu'il était immobilisé au sol par la clé de bras de son collègue. Le prévenu l'aurait ainsi frappé à plusieurs reprises et injurié uniquement « par vengeance » après avoir reçu du spray au poivre. Selon lui, le fait qu'il ait tenté de prendre la fuite et qu'il ait fait usage « au hasard » d'un spray au poivre ne justifierait en rien les mots et les coups portés par le prévenu à son encontre alors qu'il se serait trouvé au sol sans défense.</w:t>
      </w:r>
    </w:p>
    <w:p>
      <w:r>
        <w:rPr>
          <w:b/>
        </w:rPr>
        <w:t>E. 2.2.1</w:t>
      </w:r>
    </w:p>
    <w:p>
      <w:r>
        <w:t>Conformément à l'art. 310 al. 1 let. a CPP, le Procureur rend immédiatement – c'est-à-dire sans qu'une instruction soit ouverte (art. 309 al. 1 et 4 CPP; TF 1B_111/2012 du 5 avril 2012 consid. 2.1; Cornu, in: Kuhn/Jeanneret [éd.], Commentaire romand, Code de procédure pénale suisse, Bâle 2011,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306 et 307 CPP), que les éléments constitutifs d'une infraction ou les conditions d'ouverture de l'action pénale ne sont manifestement pas réunis (TF 6B_1238/2018 du 16 janvier 2019 consid. 3.1; TF 1B_709/2012 du 21 février 2013 consid. 3.1). Selon cette disposition, il importe donc que les éléments constitutifs de l'infraction ne soient manifestement pas réunis. En d'autres termes, il faut être certain que l'état de fait ne constitue aucune infraction</w:t>
      </w:r>
    </w:p>
    <w:p>
      <w:r>
        <w:t>- 6 - (ATF 137 IV 285 consid. 2.3).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Conformément au principe de la maxime de l’instruction, les autorités pénales mettent en œuvre tous les moyens de preuve licites qui, selon l'état des connaissances scientifiques et l'expérience, sont propres à établir la vérité (art. 139 al. 1 CPP). Il n’y a pas lieu d'administrer des preuves sur des faits non pertinents, notoires, connus de l'autorité pénale ou déjà suffisamment prouvés (art. 139 al. 2 CPP).</w:t>
      </w:r>
    </w:p>
    <w:p>
      <w:r>
        <w:rPr>
          <w:b/>
        </w:rPr>
        <w:t>E. 2.2.3</w:t>
      </w:r>
    </w:p>
    <w:p>
      <w:r>
        <w:t>Se rend coupable d’injure au sens de l’art. 177 al. 1 CP celui qui, de toute autre manière, aura, par la parole, l’écriture, l’image, le geste ou par des voies de fait, attaqué autrui dans son honneur. L'honneur que protège l'art. 177 CP est le sentiment et la réputation d'être une personne honnête et respectable, c'est-à-dire le droit de ne pas être méprisé en tant qu'être humain ou entité juridique (ATF 132 IV 112 consid. 2.1 ; ATF 128 IV 53 consid. la). L'injure peut consister dans la formulation d'un jugement de valeur offensant, mettant en doute l'honnêteté, la loyauté ou la moralité d'une personne de manière à la</w:t>
      </w:r>
    </w:p>
    <w:p>
      <w:r>
        <w:t>- 7 - rendre méprisable en tant qu'être humain ou entité juridique (Corboz, Les infractions en droit suisse, vol. I, 3e éd., Berne 2010,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w:t>
      </w:r>
    </w:p>
    <w:p>
      <w:r>
        <w:rPr>
          <w:b/>
        </w:rPr>
        <w:t>E. 2.2.4</w:t>
      </w:r>
    </w:p>
    <w:p>
      <w:r>
        <w:t>Selon l’art. 123 ch. 1 CP, celui qui, intentionnellement, aura fait subir à une personne une atteinte à l’intégrité corporelle ou à la santé sera, sur plainte, puni d’une peine privative de liberté de trois ans au plus ou d’une peine pécuniaire. Cette disposition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w:t>
      </w:r>
    </w:p>
    <w:p>
      <w:r>
        <w:rPr>
          <w:b/>
        </w:rPr>
        <w:t>E. 2.2.5</w:t>
      </w:r>
    </w:p>
    <w:p>
      <w:r>
        <w:t>Conformément à l'art. 14 CP, quiconque agit comme la loi l'ordonne ou l'autorise se comporte de manière licite, même si l'acte est punissable en vertu de ce même code. Cette disposition reprend en</w:t>
      </w:r>
    </w:p>
    <w:p>
      <w:r>
        <w:t>- 8 - substance l'art. 32 aCP, de sorte que la jurisprudence y relative conserve sa pertinence. La licéité de l'acte est, en tous les cas, subordonnée à la condition qu'il soit proportionné à son but (ATF 107 IV 84 consid. 4). Il faut donc se demander si le préjudice porté aux droits de tiers n'excède pas ce qui est nécessaire pour atteindre le but qui le justifie (ATF 107 IV 84, précité, consid. 4 et 4a; ATF 94 IV 5 consid. 1 et 2a), en tenant compte des circonstances du cas d'espèce, soit de la justification et du type de la mesure prise, ainsi que des moyens et du temps dont disposait l'intéressé, selon la représentation qu'il avait des faits au moment où il a agi (TF 66_930/2008 du 15 janvier 2009 consid.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(Monnier, Commentaire romand du Code pénal, Bâle 2009, n. 5 ad art. 14-18 CP, p. 172 et les références citées). Il était déjà acquis, aux termes de la jurisprudence et de la doctrine relatives à l'art. 32 aCP,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op. cit., n. 21 ad art. 14-18 CP, p. 174 et la référence citée).</w:t>
      </w:r>
    </w:p>
    <w:p>
      <w:r>
        <w:t>- 9 -</w:t>
      </w:r>
    </w:p>
    <w:p>
      <w:r>
        <w:rPr>
          <w:b/>
        </w:rPr>
        <w:t>E. 2.2.6</w:t>
      </w:r>
    </w:p>
    <w:p>
      <w:r>
        <w:t>Aux termes de l'art. 218 al. 1 CPP, un particulier est autorisé à arrêter provisoirement une personne lorsqu'elle est surprise en flagrant délit de crime, ou de délit (let. a) ou lorsque la population a été appelée à prêter son concours à la recherche de cette personne (let. b), lorsque l'aide de la police ne peut être obtenue à temps. Par particulier, il faut entendre toute personne qui n'est pas membre des forces de police ; cette définition comprend toute personne privée, ceci même si elle exerce des tâches qui pourraient être assimilées à des tâches de police comme les membres de service de sécurité privée, les détectives privés ou encore les contrôleurs dans les bus ou les trains (Schmocker, in: Kuhn/Jeanneret [éd.], op. cit., nn. 7 ss ad art. 218 CPP). L'usage par des tiers d'entreprises spécialisées dans la surveillance de lieux pour prévenir des violences ou des actes contraires à la propriété ne confère pas un pouvoir illimité à ces dernières. Elles peuvent tout au plus prévenir, dénoncer, voire intercepter l'auteur d'un crime ou d'un délit. Pour le reste, les mesures de contrainte sont du ressort de la police (Albertini/Armbruster, in: Niggli/Heer/Wiprächtig [éd.], Basler Kommentar, Schweizerische Strafprozessord-nung, Bâle 2011, n. 3 ad art. 218 CPP). L'art. 15 al. 2 du Concordat du 18 octobre 1996 sur les entreprises de sécurité (C-Eséc; BLV 935.91) prévoit également un recours à la force limité à la légitime défense et à l'état de nécessité. Aux termes de l'art. 4 al. 1 de ce concordat, les missions des entreprises de sécurité sont la surveillance ou la garde de biens mobiliers ou immobiliers (let. a), la protection des personnes (let. b) et le transport de sécurité de biens ou de valeurs (let. c). Dans le cadre de ces missions, de par la nature même de leurs activités, les agents de sécurité peuvent être amenés à recourir à la force. Ils doivent toutefois agir dans les limites rappelées ci-dessus. Ainsi, l'admissibilité du recours à la force doit s'examiner, en ce qui concerne les agents de sécurité, essentiellement au regard du principe de la proportionnalité (cf. CREP 26 mai 2015/358).</w:t>
      </w:r>
    </w:p>
    <w:p>
      <w:r>
        <w:rPr>
          <w:b/>
        </w:rPr>
        <w:t>E. 2.3</w:t>
      </w:r>
    </w:p>
    <w:p>
      <w:r>
        <w:t>En l'espèce, l'altercation a été violente et cela par la propre faute du recourant, qui apparaît s'être vivement débattu alors que les</w:t>
      </w:r>
    </w:p>
    <w:p>
      <w:r>
        <w:t>- 10 - agents de sécurité tentaient de le maîtriser, lui qui avait immédiatement tenté de fuir après qu'il lui avait été demandé de présenter une pièce de légitimation. En outre, il ressort du rapport d'intervention de la police, arrivée peu après sur place, que le recourant se montrait toujours virulent à ce moment-là (cf. P. 11, p. 2). Dans un tel contexte, les agents de sécurité et en particulier le prévenu n'apparaissent pas avoir outrepassé leur droit de recours à la force. Ils se sont en effet contentés d'immobiliser le prévenu et de le maintenir à la disposition des forces de l'ordre. S'agissant des blessures au visage présentées par le recourant, rien ne permet de supposer qu'elles résulteraient de coups donnés alors que celui-ci était immobilisé puisque, comme relevé plus haut, ce n'est qu'au moment où la police est arrivée que le recourant a été véritablement maîtrisé. Dans une telle bagarre, la tension est assez extrême et il est inévitable que des coups soient échangés surtout si le contrevenant fait usage d'une arme ou de tout autre moyen de défense tel un spray au poivre, comme dans le cas présent. Il est en outre particulièrement difficile de reconstituer a posteriori les mouvements précis des uns et des autres mais, une fois encore, on sait que le recourant était virulent tout au long des faits et notamment à l'arrivée de la police. Quant aux déclarations de [...], collègue du prévenu, elles n'appuient nullement la version des faits du recourant. Ce collègue a en effet déclaré que l'usage du spray, appartenant au recourant et non aux agents de sécurité, était intervenu au moment où les agents tentaient de le maîtriser alors qu'il était couché et que, malgré le « nuage de spray » reçu, il n'avait pas lâché le recourant jusqu'à ce que la police arrive (cf. PV aud. 5, p. 2). On ne saurait donc déduire de cette déposition que le recourant était totalement immobilisé et qu'il aurait été frappé alors qu'il se trouvait sans défense. En outre, dans la mesure où aucune personne présente sur les lieux ne peut être retrouvée et où aucun autre moyen de preuve n'est disponible, c'est à bon droit que le Procureur a d'emblée exclu la culpabilité du prévenu sous l'angle des lésions corporelles simples.</w:t>
      </w:r>
    </w:p>
    <w:p>
      <w:r>
        <w:t>- 11 - S'agissant des propos injurieux qui auraient été proférés par le prévenu, la Cour de céans confirme également l'appréciation du Procureur sur ce point, dès lors qu'on ne dispose d'aucun indice concret susceptible de donner une certaine consistance aux déclarations du recourant à cet égard. Ici également, une condamnation peut d'emblée être exclue.</w:t>
      </w:r>
    </w:p>
    <w:p>
      <w:r>
        <w:rPr>
          <w:b/>
        </w:rPr>
        <w:t>E. 3</w:t>
      </w:r>
    </w:p>
    <w:p>
      <w:r>
        <w:t>En définitive, le recours, manifestement mal fondé, doit être rejeté sans échange d’écritures (art. 390 al. 2 CPP) et l’ordonnance attaquée confirmée. Les frais de la procédure de recours, constitués de l'émolument d’arrêt, par 1'100 fr. (art. 20 al. 1 TFIP [Tarif des frais judiciaires de procédure et indemnités en matière pénale du 28 septembre 2010; BLV 312.03.1]), seront mis à la charge du recourant, qui succombe (art. 428 al. 1 CPP). W.________ n’a en conséquence pas droit à des dépens (art. 433 al. 1 let. a CPP a contrario), étant encore souligné que son avocat, Me Amir Dhyaf, ne revêt pas dans la présente cause la qualité de conseil d'office, mais seulement dans le cadre de la procédure instruite sous référence PE19.[...]. Par ces motifs, la Chambre des recours pénale prononce : I. Le recours est rejeté. II. L'ordonnance du 23 août 2019 est confirmée. III. Les frais d'arrêt, par 1'100 fr. (mille cent francs), sont mis à la charge de W.________. IV. L’arrêt est exécutoire. Le président : Le greffier :</w:t>
      </w:r>
    </w:p>
    <w:p>
      <w:r>
        <w:t>- 12 - Du Le présent arrêt, dont la rédaction a été approuvée à huis clos, est notifié, par l'envoi d'une copie complète, à : - Me Amir Dhyaf, avocat (pour W.________), - Ministère public central, et communiqué à : - M. le Procureur de l'arrondissement de l'Est vaudois, - Ministère public de la confédération, - M. J.________,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