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PE19.016584 vom 9. Juni 2020</w:t>
      </w:r>
    </w:p>
    <w:p>
      <w:r>
        <w:t>VD Tribunal cantonal, 2020-06-09, FR</w:t>
      </w:r>
    </w:p>
    <w:p>
      <w:r>
        <w:rPr>
          <w:b/>
        </w:rPr>
        <w:t xml:space="preserve">Quelle: </w:t>
      </w:r>
      <w:r>
        <w:t>https://mcp.opencaselaw.ch/entscheid/vd_gerichte_PE19.016584</w:t>
      </w:r>
    </w:p>
    <w:p>
      <w:r>
        <w:t>FR: VD_GERICHTE PE19.016584 du 9 juin 2020</w:t>
      </w:r>
    </w:p>
    <w:p>
      <w:r>
        <w:t>IT: VD_GERICHTE PE19.016584 del 9 giugno 2020</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Le recours de C.________ a été interjeté dans le délai légal et dans les formes prescrites (art. 385 al. 1 CPP) auprès de l’autorité</w:t>
      </w:r>
    </w:p>
    <w:p>
      <w:r>
        <w:t>- 5 - compétente. Celui-ci disposait par ailleurs du droit de déposer plainte pour dénoncer les actes commis au préjudice de son épouse avant son décès (cf. art. 30 al. 4 et 110 al. 1 CP [Code pénal du 21 décembre 1937; RS 311.0]), fondant ainsi sa qualité pour recourir. Le recours est dès lors recevable.</w:t>
      </w:r>
    </w:p>
    <w:p>
      <w:r>
        <w:rPr>
          <w:b/>
        </w:rPr>
        <w:t>E. 2</w:t>
      </w:r>
    </w:p>
    <w:p>
      <w:r>
        <w:t>Le recourant conteste en substance le raisonnement du Ministère public consistant à retenir qu’aucune somme n’a été confiée par F.________ à X.________ pour exclure tout abus de confiance. Selon lui, il importerait peu que la somme de 12'383 fr. 60 de cotisations perçues en trop ait été versée par la Caisse de pension T.________ et non par F.________ à la société W.________Sàrl. F.________ serait la créancière de ces cotisations, qui concerneraient la période du 31 octobre 2014 au 30 juin 2017, soit une période antérieure à la reprise du salon de coiffure par la prévenue. Or, X.________, en sa qualité d’unique associée gérante de ladite société, répondrait des actes de W.________Sàrl et en particulier du fait de n’avoir pas reversé à F.________ le montant précité, malgré ses demandes en ce sens.</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w:t>
      </w:r>
    </w:p>
    <w:p>
      <w:r>
        <w:rPr>
          <w:b/>
        </w:rPr>
        <w:t>E. 2.1.2</w:t>
      </w:r>
    </w:p>
    <w:p>
      <w:r>
        <w:t>Commet un abus de confiance, au sens de l'art. 138 ch. 1 al. 2 CP (Code pénal suisse du 21 décembre 1937; RS 311.0),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w:t>
      </w:r>
    </w:p>
    <w:p>
      <w:r>
        <w:t>- 7 - 129 IV 257 consid. 2.2.1; ATF 121 IV 23 consid. 1c; TF 6B_819/2018 du 25 janvier 2019 consid. 3.4). Une somme est confiée lorsqu'elle est remise ou laissée à l'auteur pour qu'il l'utilise de manière déterminée dans l'intérêt d'autrui, en particulier pour la garder, l'administrer ou la remettre selon des instructions qui peuvent être expresses ou tacites (ATF 118 IV 34 consid. c, ATF 117 IV 257 consid. 1a et les arrêts cités). S'agissant du transfert d'une somme d'argent, on peut concevoir deux hypothèses : soit les fonds sont confiés à l'auteur par celui qui les lui remet, soit les fonds sont confiés par celui pour lequel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et les références citées).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TF 6B_54/2019 du 3 mai 2019 consid. 2.1). Le dessein d'enrichissement illégitime fait en revanche défaut si, au moment de l'emploi illicite de la valeur patrimoniale, l'auteur</w:t>
      </w:r>
    </w:p>
    <w:p>
      <w:r>
        <w:t>- 8 - en paie la contre-valeur, s'il avait à tout moment ou, le cas échéant, à la date convenue à cet effet, la volonté et la possibilité de le faire (« Ersatzbereitschaft »; ATF 118 IV 32 consid. 2a; TF 6B_972/2018 du 20 novembre 2018 consid. 2.4.1).</w:t>
      </w:r>
    </w:p>
    <w:p>
      <w:r>
        <w:rPr>
          <w:b/>
        </w:rPr>
        <w:t>E. 2.2</w:t>
      </w:r>
    </w:p>
    <w:p>
      <w:r>
        <w:t>En l’espèce, le raisonnement du Ministère public concernant l’infraction d’abus de confiance ne peut pas être suivi. Il ne suffit pas que la somme litigieuse n’ait pas été versée par F.________ à la société W.________Sàrl pour exclure tout abus de confiance. Il apparaît en effet que la somme de 12'383 fr. 60 correspondant aux cotisations LPP employeur et employé a été restituée à W.________Sàrl par la Caisse de pension T.________ en vue du remboursement à F.________ des cotisations de salarié déduites en trop (cf. P. 14/2/3). Il faut donc constater que cette dernière était créancière d’une partie de cette somme, correspondant aux cotisations salarié déduites de son salaire – mais non aux cotisations employeur –, et que W.________Sàrl, respectivement X.________ en sa qualité d’organe unique de cette société, a perçu le montant correspondant aux cotisations dues à F.________ comme auxiliaire de l’encaissement. On ne peut en outre pas considérer que ce montant aurait été encaissé en contrepartie d'une prestation que W.________Sàrl aurait fournie et qui aurait dû être reversée sur la base d'un rapport juridique distinct. En effet, l’obligation pour l’employeur de verser les cotisations LPP à l’institution de prévoyance et de déduire du salaire les cotisations que les dispositions réglementaires mettent à la charge du salarié reposent sur l’art. 66 LPP (loi fédérale sur la prévoyance professionnelle vieillesse, survivants et invalidité du 25 juin 1982; RS 831.40) et non directement du contrat de travail. La somme litigieuse a ainsi bien été confiée à la société dont la prévenue est l’unique organe dans un but déterminé. Cela étant, on ignore pour quelle raison les cotisations salarié n’ont pas été reversées à F.________ et il n’est ainsi pas possible, à ce stade, de déterminer si X.________ a agi intentionnellement et dans le but de s’enrichir. Le dossier de la cause doit donc être retourné au Ministère public pour qu’il entende la prévenue sur ce point, mette en œuvre d’éventuelles mesures d’instruction et statue à nouveau.</w:t>
      </w:r>
    </w:p>
    <w:p>
      <w:r>
        <w:t>- 9 -</w:t>
      </w:r>
    </w:p>
    <w:p>
      <w:r>
        <w:rPr>
          <w:b/>
        </w:rPr>
        <w:t>E. 2.3</w:t>
      </w:r>
    </w:p>
    <w:p>
      <w:r>
        <w:t>Pour le surplus, s’agissant du refus d’entrer en matière concernant l’infraction d’usure, les motifs figurant dans l’ordonnance attaquée sont pertinents et on peut se contenter d’y renvoyer, le recours ne contenant aucun grief sur ce point. 3. Le recourant conteste encore l’ordonnance attaquée en tant qu’elle refuse de le mettre au bénéfice de l’assistance judiciaire et de lui désigner un conseil juridique gratuit, dans la mesure où cette décision ne serait motivée que par celle de ne pas entrer en matière sur sa plainte. L’annulation de la seconde décision devrait dès lors entraîner celle de la première. Ce grief est bien fondé. Dès lors que le refus d’entrer en matière ne se justifiait pas s’agissant de l’infraction d’abus de confiance, il appartiendra au Ministère public, qui a considéré que la procédure pénale était vouée à l’échec, de statuer à nouveau sur cette question. 4. Au vu de ce qui précède, le recours doit être admis, l’ordonnance du 26 février 2020 annulée en tant qu’elle porte sur l’infraction d’abus de confiance, le refus d’octroyer à C.________ l’assistance judiciaire, ainsi que les frais de procédure, et le dossier de la cause renvoyé au Ministère public de l’arrondissement de Lausanne pour qu’il procède dans le sens des considérants. L’ordonnance de non-entrée en matière doit être confirmée en tant qu’elle porte sur l’infraction d’usure. Les frais de la procédure de recours, par 990 fr. (art. 20 al. 1 TFIP [Tarif des frais de procédure et indemnités en matière pénale du 28 septembre 2010; BLV 312.03.1]), seront laissés à la charge de l’Etat (art. 428 al. 4 CPP).</w:t>
      </w:r>
    </w:p>
    <w:p>
      <w:r>
        <w:t>- 10 - Le recourant, qui a procédé avec l’assistance d’un avocat de choix et qui a obtenu gain de cause, a droit à une indemnité pour les dépenses occasionnées par la procédure de recours (art. 436 al. 3 CPP). Cette indemnité sera fixée à 900 fr., correspondant à trois heures d’activité au tarif horaire d’avocat de 300 fr. (art. 26a al. 3 TFIP), plus des débours forfaitaires à hauteur de 2% des honoraires, par 18 fr., et un montant correspondant à la TVA, par 70 fr. 70, soit à un montant total arrondi de 989 francs. Cette indemnité sera laissée à la charge de l’Etat. La requête d’assistance judiciaire gratuite pour la procédure de recours est ainsi sans objet. Par ces motifs, la Chambre des recours pénale prononce : I. Le recours est admis. II. L’ordonnance du 26 février 2020 est annulée en tant qu’elle porte sur l’infraction d’abus de confiance, le refus d’octroyer à C.________ l’assistance judiciaire, ainsi que les frais de procédure. Elle est confirmée pour le surplus. III. Le dossier de la cause est renvoyé au Ministère public de l’arrondissement de Lausanne pour qu’il procède dans le sens des considérants. IV. Les frais d’arrêt, par 990 fr. (neuf cent nonante francs), sont laissés à la charge de l’Etat. V. Une indemnité de 989 fr. (neuf cent huitante-neuf francs) est allouée à C.________ pour la procédure de recours, à la charge de l’Etat. VI. La requête d’assistance judiciaire gratuite pour la procédure de recours est sans objet. VII. L’arrêt est exécutoire. Le président : Le greffier :</w:t>
      </w:r>
    </w:p>
    <w:p>
      <w:r>
        <w:t>- 11 - Du Le présent arrêt, dont la rédaction a été approuvée à huis clos, est notifié, par l'envoi d'une copie complète, à : - Me Christian Jaccard,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w:t>
      </w:r>
    </w:p>
    <w:p>
      <w:r>
        <w:t>- 6 -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ATF 138 IV 86 consid. 4.1.2, JdT 2013 IV 211;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