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PE19.016433 vom 1. Juni 2021</w:t>
      </w:r>
    </w:p>
    <w:p>
      <w:r>
        <w:t>VD Tribunal cantonal, 2021-06-01, FR</w:t>
      </w:r>
    </w:p>
    <w:p>
      <w:r>
        <w:rPr>
          <w:b/>
        </w:rPr>
        <w:t xml:space="preserve">Quelle: </w:t>
      </w:r>
      <w:r>
        <w:t>https://mcp.opencaselaw.ch/entscheid/vd_gerichte_PE19.016433</w:t>
      </w:r>
    </w:p>
    <w:p>
      <w:r>
        <w:t>FR: VD_GERICHTE PE19.016433 du 1 juin 2021</w:t>
      </w:r>
    </w:p>
    <w:p>
      <w:r>
        <w:t>IT: VD_GERICHTE PE19.016433 del 1 giugno 2021</w:t>
      </w:r>
    </w:p>
    <w:p>
      <w:pPr>
        <w:pStyle w:val="Heading2"/>
      </w:pPr>
      <w:r>
        <w:t>Erwägungen</w:t>
      </w:r>
    </w:p>
    <w:p>
      <w:r>
        <w:rPr>
          <w:b/>
        </w:rPr>
        <w:t>E. 9</w:t>
      </w:r>
    </w:p>
    <w:p>
      <w:r>
        <w:t>juin 2020 (P. 9/2) qu’une « incarcération présente actuellement toujours un risque supplémentaire pour la santé de Mme F.________, est donc toujours contre-indiquée pour le moment », dans une attestation établie le 25 juin 2020 (P. 9/1), la Dre [...], cardiologue, n’a quant à elle, pas exclu la possibilité d’une exécution par sa patiente d’une peine privative de liberté, précisant toutefois que l’intéressée ne devait pas être exposée à un champ magnétique en raison de son défibrillateur, de sorte qu’en milieu carcéral elle devrait être fouillée manuellement et devrait pouvoir prendre son système de moniteur à distance du défibrillateur afin de permettre à la praticienne de suivre les arythmies et le fonctionnement de l’appareil à distance. Par conséquent, c’est à raison que le premier juge a retenu que les problèmes de santé de l’appelante ne faisaient pas obstacle à l’exécution de la peine dans la mesure où ils pourront, le cas échéant, justifier une prise en charge particulière qui sera du ressort de l’Office d’exécution des peines. Compte tenu de ce qui précède, force est de constater que le premier juge n’a pas abusé de son pouvoir d’appréciation et a correctement appliqué le droit en condamnant l’appelante à une peine privative de liberté ferme de 150 jours. L’appel, mal fondé, doit être rejeté.</w:t>
      </w:r>
    </w:p>
    <w:p>
      <w:r>
        <w:t>- 20 - 6. En définitive, l’appel doit être rejeté et le jugement attaqué confirmé. Me Christophe Piguet a indiqué avoir consacré 3h à ce mandat, ce qui peut être admis au vu de la nature et de la complexité de l’affaire. En ajoutant 30 minutes pour tenir compte de l’audience d’appel, l’indemnité de défenseur d'office pour la procédure d'appel doit être arrêtée à 821 fr. 30 (630 fr. [honoraires] + 120 fr. [vacation] + 12 fr. 60 [débours] + 58 fr. 70 [TVA]). Vu l’issue de la cause, les frais de la procédure d’appel, par 2'651 fr. 30, constitués de l’émolument de jugement, par 1’830 fr. (art. 21 al. 1 et 2 TFIP [Tarif des frais de procédure et indemnités en matière pénale du 28 septembre 2010 ; BLV 312.03.1]), ainsi que l’indemnité allouée au défenseur d’office, par 821 fr. 30, seront mis à la charge de l’appelante, qui succombe (art. 428 al. 1, 1re phrase, CPP). F.________ ne sera tenue de rembourser à l’Etat le montant de l’indemnité en faveur de son défenseur d'office mise à sa charge que lorsque sa situation financière le permettra (art. 103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