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PE19.016243 vom 23. September 2019</w:t>
      </w:r>
    </w:p>
    <w:p>
      <w:r>
        <w:t>VD Tribunal cantonal, 2019-09-23, FR</w:t>
      </w:r>
    </w:p>
    <w:p>
      <w:r>
        <w:rPr>
          <w:b/>
        </w:rPr>
        <w:t xml:space="preserve">Quelle: </w:t>
      </w:r>
      <w:r>
        <w:t>https://mcp.opencaselaw.ch/entscheid/vd_gerichte_PE19.016243</w:t>
      </w:r>
    </w:p>
    <w:p>
      <w:r>
        <w:t>FR: VD_GERICHTE PE19.016243 du 23 septembre 2019</w:t>
      </w:r>
    </w:p>
    <w:p>
      <w:r>
        <w:t>IT: VD_GERICHTE PE19.016243 del 23 settembre 2019</w:t>
      </w:r>
    </w:p>
    <w:p>
      <w:pPr>
        <w:pStyle w:val="Heading2"/>
      </w:pPr>
      <w:r>
        <w:t>Erwägungen</w:t>
      </w:r>
    </w:p>
    <w:p>
      <w:r>
        <w:rPr>
          <w:b/>
        </w:rPr>
        <w:t>E. 1</w:t>
      </w:r>
    </w:p>
    <w:p>
      <w:r>
        <w:t>CPP), le recours formé par I.________ est recevable (Moreillon/Parein- Reymond, Code de procédure pénale, Petit commentaire, 2e éd., Bâle 2016, n. 18 ad art. 132 CPP ; CREP 17 août 2017/542 consid. 1 et les références citées).</w:t>
      </w:r>
    </w:p>
    <w:p>
      <w:r>
        <w:t>- 3 -</w:t>
      </w:r>
    </w:p>
    <w:p>
      <w:r>
        <w:rPr>
          <w:b/>
        </w:rPr>
        <w:t>E. 2.1</w:t>
      </w:r>
    </w:p>
    <w:p>
      <w:r>
        <w:t>La recourante requiert la désignation d’un défenseur d’office. Elle fait valoir qu’elle est incapable de se défendre seule, qu’elle bénéficie de l’assurance invalidité et qu’elle doit encore subir une opération courant octobre.</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w:t>
      </w:r>
    </w:p>
    <w:p>
      <w:r>
        <w:t>- 4 -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consid. 2.5.2).</w:t>
      </w:r>
    </w:p>
    <w:p>
      <w:r>
        <w:rPr>
          <w:b/>
        </w:rPr>
        <w:t>E. 2.3</w:t>
      </w:r>
    </w:p>
    <w:p>
      <w:r>
        <w:t>En l’espèce, il est reproché à la recourante d’avoir traité sa voisine de « sale petite pute ». Force est de constater que les faits ne présentent aucune complexité. En outre, l’infraction dénoncée ne pose pas de problème de compréhension particulier qui nécessiterait d’avoir suivi une formation juridique. Le fait que la recourante soit à l’AI n’y change rien. I.________ ne démontre pas non plus qu’elle serait empêchée de se défendre seule. Par ailleurs, l’affaire est de peu de gravité au sens de l’art. 132 al. 2 CPP, a contrario. En effet, l’infraction reprochée à la recourante, soit l’injure (art. 177 CP), est passible d’une sanction de 90 jours-amende au plus, soit une peine qui se situe en dessous de la limite légale de l’art. 132 al. 3 CPP. Dans ces conditions, il n’est pas nécessaire d’instruire le point de savoir si la recourante ne dispose pas des moyens nécessaires au sens de la jurisprudence (TF 1B_347/2018 du 10 janvier 2019 consid. 3.1). Au vu de ce qui précède, les conditions prévues à l’art. 132 al. 1 let. b CPP ne sont pas réalisées. C’est donc à bon droit que le Procureur a refusé de nommer un défenseur d’office à la recourante.</w:t>
      </w:r>
    </w:p>
    <w:p>
      <w:r>
        <w:rPr>
          <w:b/>
        </w:rPr>
        <w:t>E. 3</w:t>
      </w:r>
    </w:p>
    <w:p>
      <w:r>
        <w:t>Il résulte de ce qui précède que le recours, manifestement mal fondé, doit être rejeté, sans échange d’écritures (art. 390 al. 2 CPP), et l’ordonnance attaquée confirmée.</w:t>
      </w:r>
    </w:p>
    <w:p>
      <w:r>
        <w:t>- 5 - Les frais de la procédure de recours, constitués en l'espèce du seul émolument d’arrêt, par 550 fr. (art. 20 al. 1 TFIP [Tarif des frais de procédure et indemnités en matière pénale du 28 septembre 2010 ; BLV 312.03.1]), seront mis à la charge de la recourante, qui succombe (art. 428 al. 1 CPP). En outre, aucune indemnité ne sera allouée au vu de l’issue du recours. Par ces motifs, la Chambre des recours pénale prononce : I. Le recours est rejeté. II. L’ordonnance du 9 septembre 2019 est confirmée. III. Les frais d’arrêt, par 550 fr. (cinq cent cinquante francs), sont mis à la charge de I.________. IV. L’arrêt est exécutoire. Le président : La greffière : Du Le présent arrêt, dont la rédaction a été approuvée à huis clos, est notifié, par l'envoi d'une copie complète, à : - Mme I.________,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