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PE19.016118 vom 22. Dezember 2020</w:t>
      </w:r>
    </w:p>
    <w:p>
      <w:r>
        <w:t>VD Tribunal cantonal, 2020-12-22, FR</w:t>
      </w:r>
    </w:p>
    <w:p>
      <w:r>
        <w:rPr>
          <w:b/>
        </w:rPr>
        <w:t xml:space="preserve">Quelle: </w:t>
      </w:r>
      <w:r>
        <w:t>https://mcp.opencaselaw.ch/entscheid/vd_gerichte_PE19.016118</w:t>
      </w:r>
    </w:p>
    <w:p>
      <w:r>
        <w:t>FR: VD_GERICHTE PE19.016118 du 22 décembre 2020</w:t>
      </w:r>
    </w:p>
    <w:p>
      <w:r>
        <w:t>IT: VD_GERICHTE PE19.016118 del 22 dicembre 2020</w:t>
      </w:r>
    </w:p>
    <w:p>
      <w:pPr>
        <w:pStyle w:val="Heading2"/>
      </w:pPr>
      <w:r>
        <w:t>Erwägungen</w:t>
      </w:r>
    </w:p>
    <w:p>
      <w:r>
        <w:rPr>
          <w:b/>
        </w:rPr>
        <w:t>E. 15</w:t>
      </w:r>
    </w:p>
    <w:p>
      <w:r>
        <w:t>juillet 2020 devait être considérée comme retirée (I), a dit que l’ordonnance pénale du 8 juillet 2020 devenait exécutoire (II) et a dit que son ordonnance était rendue sans frais. C. Par acte du 22 septembre 2020, P.________ a recouru contre cette ordonnance auprès du Ministère public de l’arrondissement de Lausanne, en concluant implicitement à son annulation. Le 23 septembre 2020, cette autorité a transmis le recours de P.________ et le dossier de la cause à la Chambre des recours pénale du</w:t>
      </w:r>
    </w:p>
    <w:p>
      <w:r>
        <w:t>- 3 - Tribunal cantonal comme objet de sa compétence. La procureure a implicitement conclu au rejet du recours, exposant que P.________ avait fait défaut à l’audience du 8 septembre 2020, à laquelle il avait été valablement convoqué. Le 10 décembre 2020, la Chambre des recours pénale a transmis les déterminations de la procureure à P.________. En d roit : 1. 1.1 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Niggli/Heer/Wiprächtiger [éd.], Basler Kommentar, Schweizerische Strafprozessordnung, 2e éd., Bâle 2014, n. 5 ad art. 355 CPP; Schwarzenegger, in : Donatsch/Hansjakob/Lieber [éd.], Kommentar zur Schweizerischen Strafprozessordnung, 2e éd., Zurich/Bâle/Genève 2014, n. 2 ad art. 355 CPP; CREP 24 juin 2019/508 consid. 1.1).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 Selon l’art. 91 al. 4 CPP, le délai est également réputé observé si l’écrit parvient au plus tard le dernier jour du délai à une autorité suisse</w:t>
      </w:r>
    </w:p>
    <w:p>
      <w:r>
        <w:t>- 4 - non compétente. Celle-ci transmet l’écrit sans retard à l’autorité pénale compétente. 1.2 En l’espèce, interjeté en temps utile par le prévenu qui a qualité pour recourir (art. 382 al. 1 CPP), devant le Ministère public de l’arrondissement de Lausanne, puis transmis à l’autorité compétente (art. 91 al. 4 CPP), et satisfaisant aux exigences de forme (art. 385 al. 1 CPP), le recours est recevable. 2. 2.1 Le recourant expose qu’il n’a pas pu se présenter à l’audience du 8 septembre 2020, étant en quarantaine en raison du COVID suite à son retour de vacances. Il reproche à la procureure de ne pas l’avoir entendu avant qu’elle rende son ordonnance du 15 septembre 2020. En outre, il soutient qu’il n’avait ni proféré des injures, ni menacé le plaignant. 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w:t>
      </w:r>
    </w:p>
    <w:p>
      <w:r>
        <w:t>- 5 - voulu une telle protection en formant opposition (ATF 140 IV 82 consid. 2.4, JdT 2014 IV 301). Dans cet arrêt,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précité consid. 3.1). La fiction légale de retrait découlant d'un défaut non excusé suppose également que l'opposant ait conscience des conséquences de son omission et qu'il renonce à ses droits en connaissance de cause, l’abus de droit étant réservé (ATF 142 IV 158 précité consid. 3.4; ATF 140 IV 82 précité consid. 2.3 et 2.5; ATF 140 IV 86, JdT 2014 IV 296; Denys, Ordonnance pénale : Questions choisies et jurisprudence récente, SJ 2016 II 130, spéc. 133-134).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TF 6B_1297/2018 du 6 février 2019 consid. 1.1 et les références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 Jeanneret et al. [éd.], Commentaire romand, Code de procédure pénale suisse, 2e éd., Bâle</w:t>
      </w:r>
    </w:p>
    <w:p>
      <w:r>
        <w:t>- 6 - 2019,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 Ainsi, en cas de défaut, l’opposition est réputée retirée alors même qu’elle avait été valablement déposée et l’ordonnance pénale acquiert ainsi autorité de la chose jugée (Moreillon/Parein-Reymond, Petit commentaire, Code de procédure pénale, 2e éd., Bâle 2016, n. 6 ad art. 355 CPP). 2.3 En l’espèce, il est manifeste que le prévenu s’est désintéressé de la procédure pénale. La citation à comparaître du 16 juillet 2020 à l’audience du 8 septembre 2020 fait mention des conséquences d’un éventuel défaut (art. 355 al. 2 CPP). Selon le relevé de suivi des envois de la poste, cette citation a été remise au recourant le 18 juillet 2020 (P. 13). Depuis le mois de juillet 2020, voire durant les jours précédents sa quarantaine, ou pendant celle-ci, le recourant avait tout loisir d’aviser la procureure de son indisponibilité en produisant tout document utile indiquant les motifs de son empêchement (art. 205 al. 2 CPP). Or, l’intéressé n’a pas réagi, ni avisé la procureure, ni ne s’est présenté à l’audience, et il n’a produit aucun document justifiant son absence. Son excuse tardive n’est dès lors pas recevable, de même que ses griefs</w:t>
      </w:r>
    </w:p>
    <w:p>
      <w:r>
        <w:t>- 7 - portant sur le fond de la cause, l’ordonnance pénale du 8 juillet 2020 étant devenue exécutoire. 3. Au vu de ce qui précède, le recours, manifestement mal fondé, doit être rejeté, et l’ordonnance du 15 septembre 2020 confirmée. Les frais de la procédure de recours, constitués du seul 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15 septembre 2020 est confirmée. III. Les frais d’arrêt, par 770 fr. (sept cent septante francs), sont mis à la charge de P.________. IV. L’arrêt est exécutoire. Le président : La greffière : Du Le présent arrêt, dont la rédaction a été approuvée à huis clos, est notifié, par l'envoi d'une copie complète, à : - M. P.________, - M. A.________,</w:t>
      </w:r>
    </w:p>
    <w:p>
      <w:r>
        <w:t>- 8 -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