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PE19.015393 vom 28. Mai 2020</w:t>
      </w:r>
    </w:p>
    <w:p>
      <w:r>
        <w:t>VD Tribunal cantonal, 2020-05-28, FR</w:t>
      </w:r>
    </w:p>
    <w:p>
      <w:r>
        <w:rPr>
          <w:b/>
        </w:rPr>
        <w:t xml:space="preserve">Quelle: </w:t>
      </w:r>
      <w:r>
        <w:t>https://mcp.opencaselaw.ch/entscheid/vd_gerichte_PE19.015393</w:t>
      </w:r>
    </w:p>
    <w:p>
      <w:r>
        <w:t>FR: VD_GERICHTE PE19.015393 du 28 mai 2020</w:t>
      </w:r>
    </w:p>
    <w:p>
      <w:r>
        <w:t>IT: VD_GERICHTE PE19.015393 del 28 maggio 2020</w:t>
      </w:r>
    </w:p>
    <w:p>
      <w:pPr>
        <w:pStyle w:val="Heading2"/>
      </w:pPr>
      <w:r>
        <w:t>Erwägungen</w:t>
      </w:r>
    </w:p>
    <w:p>
      <w:r>
        <w:rPr>
          <w:b/>
        </w:rPr>
        <w:t>E. 8.1</w:t>
      </w:r>
    </w:p>
    <w:p>
      <w:r>
        <w:t>L’appelant fait grief à l’autorité de première instance de ne pas avoir assorti la peine privative de liberté du sursis partiel.</w:t>
      </w:r>
    </w:p>
    <w:p>
      <w:r>
        <w:rPr>
          <w:b/>
        </w:rPr>
        <w:t>E. 8.2</w:t>
      </w:r>
    </w:p>
    <w:p>
      <w:r>
        <w:t>L'art. 43 al. 1 CP prévoit que le juge peut suspendre partiellement l'exécution d'une peine pécuniaire, d'un travail d'intérêt général ou d'une peine privative de liberté d'un an au moins et de trois ans au plus afin de tenir compte de façon appropriée de la faute de l'auteur. Même si cette disposition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Pour émettre ce pronostic sur le comportement futur de l'auteur, le juge doit se livrer à une appréciation d'ensemble, tenant compte des circonstances de l'infraction, des antécédents de l'auteur, de</w:t>
      </w:r>
    </w:p>
    <w:p>
      <w:r>
        <w:t>- 32 -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(ATF 134 IV 140 consid. 4.2 ; TF 6B_166/2017 du 16 novembre 2017 consid. 4.1).</w:t>
      </w:r>
    </w:p>
    <w:p>
      <w:r>
        <w:rPr>
          <w:b/>
        </w:rPr>
        <w:t>E. 8.3</w:t>
      </w:r>
    </w:p>
    <w:p>
      <w:r>
        <w:t>En l’espèce, le pronostic est défavorable, ce qui exclut l’octroi de tout sursis. Certes, l’appelant a admis certains faits lors de l’audience de première instance ; il a, dans ces cas, cependant toujours cherché à se dédouaner en invoquant ses problèmes d’alcool. Il a également persisté à nier certaines infractions, malgré les éléments à charge. Le prévenu est maintenant en détention depuis plusieurs mois, mais on ne peut que douter de l’effet de choc de cette détention sur sa personne. En effet, ce dernier, qui est né le [...] 1998, a déjà sept inscriptions à son casier judiciaire. Il a déjà été condamné à des peines privatives de liberté. En particulier, on peut rappeler qu’il a été condamné le 18 avril 2019 à une peine privative de liberté de cent-vingt jours et qu’il a récidivé dès le 21 avril 2019, ce qui démontre l’absence d’effet des sanctions prononcées.</w:t>
      </w:r>
    </w:p>
    <w:p>
      <w:r>
        <w:rPr>
          <w:b/>
        </w:rPr>
        <w:t>E. 9.1</w:t>
      </w:r>
    </w:p>
    <w:p>
      <w:r>
        <w:t>L’appelant conteste son expulsion. A cet égard, il fait valoir qu’il n’aurait pas de famille dans son pays d’origine et qu’il n’aurait aucune chance de s’y’intégrer. Il relève être arrivé en Suisse à l’âge de quatre ans, y avoir vécu pendant plus de dix-huit ans, s’être réconcilié avec ses parents et ses frère et sœur, avoir pris conscience de ses actes et avoir des possibilités de réinsertion en Suisse, en reprenant un emploi dans la société de plâtrerie-peinture de son cousin.</w:t>
      </w:r>
    </w:p>
    <w:p>
      <w:r>
        <w:rPr>
          <w:b/>
        </w:rPr>
        <w:t>E. 9.2</w:t>
      </w:r>
    </w:p>
    <w:p>
      <w:r>
        <w:t>Selon l'art. 66a al. 2 CP, le juge peut exceptionnellement renoncer à une expulsion lorsque celle-ci mettrait l'étranger dans une situation personnelle grave et que les intérêts publics à l'expulsion ne</w:t>
      </w:r>
    </w:p>
    <w:p>
      <w:r>
        <w:t>- 33 -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6B_1417/2019, déjà cité, consid. 2.1.1 ; TF 6B_50/2020 du 3 mars 2020 consid. 1.3.1). L'expulsion d'un individu étant né et ayant passé toute son existence en Suisse, jusqu'à l'âge adulte, ne peut que causer à celui-ci une atteinte à son droit au respect de sa vie privée, cela indépendamment de</w:t>
      </w:r>
    </w:p>
    <w:p>
      <w:r>
        <w:t>- 34 - sa situation personnelle et familiale (cf. TF 6B_153/2020 du 28 avril 2020 consid. 1.3.4). L'examen de la clause de rigueur doit être effectué dans chaque cas sur la base des critères d'intégration habituels (cf. ATF 144 IV 332 consid. 3.3.2).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 TF 6B_153/2020, déjà cité, consid. 1.4.1 ; TF 6B_1417/2019, déjà cité, consid. 2.1.3).</w:t>
      </w:r>
    </w:p>
    <w:p>
      <w:r>
        <w:rPr>
          <w:b/>
        </w:rPr>
        <w:t>E. 9.3</w:t>
      </w:r>
    </w:p>
    <w:p>
      <w:r>
        <w:t>En l’espèce, si l’appelant vit en Suisse depuis plusieurs années et y a sa famille, il n’y est toutefois pas intégré socialement. Ainsi, il n’a pas obtenu de diplôme de fin de scolarité, n’a jamais terminé d’apprentissage, n’a jamais eu un emploi en dehors de stages et émargeait aux services sociaux lors de son arrestation. Il était également sans domicile fixe et en froid avec ses parents, avant de se réconcilier au cours de la procédure pénale, et faisait l’objet de poursuites pour un montant de 8'995 fr. 30. Il n’a ni enfant, ni conjoint en Suisse. Il parle le bosnien et s’est rendu deux fois en Bosnie en 2019 (cf. PV aud. 8, R. 11) pour voir sa grand-mère. Au regard de ces éléments, on ne peut affirmer que l’intégration du prévenu en Bosnie sera plus difficile qu’en Suisse. L’attestation rédigée par la famille du prévenu – à l’exception de son père (cf. P. 135/3) – n’est pas pertinente. Il en va de même de la promesse d’embauche du cousin de l’appelant (P. 135/1), dans la mesure où l’intéressé a déjà travaillé dans le même domaine – d’ailleurs avec son cousin – sans que cela l’empêche de commettre des infractions ni lui</w:t>
      </w:r>
    </w:p>
    <w:p>
      <w:r>
        <w:t>- 35 - permette de s’insérer professionnellement et d’être autonome financièrement. Par ailleurs, l’intérêt public à l’expulsion l’emporte sur l’intérêt privé du prévenu à pouvoir demeurer en Suisse. En effet, ce dernier a de nombreux antécédents et s’est installé dans la délinquance depuis son plus jeune âge. Le pronostic le concernant est défavorable. Enfin, sa violence va crescendo au regard des infractions commises dans la présente cause. Dans ces circonstances, l’expulsion et la durée de celle-ci doivent être confirmées.</w:t>
      </w:r>
    </w:p>
    <w:p>
      <w:r>
        <w:rPr>
          <w:b/>
        </w:rPr>
        <w:t>E. 10.1</w:t>
      </w:r>
    </w:p>
    <w:p>
      <w:r>
        <w:t>L’appelant conteste la quotité de la réduction de la peine privative de liberté en raison de la détention dans des conditions illicites. Il reproche aux premiers juges de ne pas avoir tenu compte des effets de la crise sanitaire sur les conditions de détention et du fait qu’il aurait dû être en exécution anticipée de peine dès le 7 février 2020 et qu’il n’a été transféré à la Prison de la Croisée que le 10 juin 2020. L’appelant se réfère à l’arrêt TF 1B_308/2020 du 18 juin 2020 pour en déduire que la jurisprudence tient désormais compte de la crise sanitaire comme circonstance aggravante.</w:t>
      </w:r>
    </w:p>
    <w:p>
      <w:r>
        <w:rPr>
          <w:b/>
        </w:rPr>
        <w:t>E. 10.2.1</w:t>
      </w:r>
    </w:p>
    <w:p>
      <w:r>
        <w:t>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consid. 6.5.1 ; TF 6B_1395/2016 du 27 octobre 2017 consid. 1.1 et les réf. citées). Ainsi, la Haute Cour n’a jamais fixé de ratio strict en la matière et a déjà admis des réductions de peine correspondant à un</w:t>
      </w:r>
    </w:p>
    <w:p>
      <w:r>
        <w:t>- 36 - cinquième, un quart, un tiers, voire à la moitié du nombre de jours passés dans des conditions de détention illicites (cf. ATF 142 IV 245 consid. 4.3 ; TF 6B_458/2019 et TF 6B_459/2019, déjà cité, consid. 7.2 et 7.3 et les réf. citées ; TF 6B_1243/2016 du 13 décembre 2016 consid. 2.4).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w:t>
      </w:r>
    </w:p>
    <w:p>
      <w:r>
        <w:t>- 37 -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 3.3 ; CAPE 16 juin 2020/205 consid. 6.2 ; CAPE 28 mars 2019/92 consid. 5.2 et les réf. citées, notamment CAPE 18 août 2016/357 consid. 4.2 ; CAPE 18 novembre 2013 consid. 4.2).</w:t>
      </w:r>
    </w:p>
    <w:p>
      <w:r>
        <w:rPr>
          <w:b/>
        </w:rPr>
        <w:t>E. 10.2.2</w:t>
      </w:r>
    </w:p>
    <w:p>
      <w:r>
        <w:t>Dans l’arrêt du 18 juin 2020 auquel se réfère l’appelant, le Tribunal fédéral a déclaré irrecevable un recours dirigé contre un arrêt de la Chambre des recours pénale qui renvoyait la cause au Tribunal des mesures de contrainte pour qu’il détermine depuis quand s'appliquait le nouveau régime de détention, et si celui-ci était admissible depuis cette date, et relevait que depuis la crise liée au Covid-19, le recourant travaillait avec son codétenu, ce qui augmentait le temps passé en commun en cellule (cf. consid. 1.2).</w:t>
      </w:r>
    </w:p>
    <w:p>
      <w:r>
        <w:rPr>
          <w:b/>
        </w:rPr>
        <w:t>E. 10.3</w:t>
      </w:r>
    </w:p>
    <w:p>
      <w:r>
        <w:t>L’appelant a été détenu, dans des conditions illicites à la Prison du Bois-Mermet entre le 21 octobre 2019 et le 29 avril 2020. A cet égard, le Tribunal des mesures de contrainte a constaté, dans son ordonnance du 20 mai 2020, que, après réduction des espaces sanitaires, l’espace individuel était de 3,96 m2, que les sanitaires de la cellule n’étaient pas séparés par des cloisons solides, mais uniquement par un rideau ignifuge, que le bâtiment était mal isolé thermiquement et que le prévenu était détenu sous le régime de détention avant jugement, de sorte qu’il n’avait pas accès au régime de travail et devait ainsi demeurer confiné en cellule au moins 21 heures par jour. Il résulte des constatations précitées que la surface se situait entre 3 m2 et 4 m2 et que plusieurs circonstances aggravantes étaient réalisées, ce qui justifie d’opérer une réduction d’un quart, conformément à ce qui a été fait par les premiers juges. La pénibilité accrue en raison de la détention durant la période de</w:t>
      </w:r>
    </w:p>
    <w:p>
      <w:r>
        <w:t>- 38 - confinement doit être considérée comme une circonstance aggravante supplémentaire, laquelle ne donne pas lieu à une diminution supplémentaire au regard de la jurisprudence exposée ci-dessus. Le fait que le prévenu soit passé plus tardivement que prévu sous le régime de l’exécution anticipée de peine ne constitue pas une violation de l’art. 3 CEDH (cf. TF 1B_317/2017 du 15 août 2017 consid. 2.2.2).</w:t>
      </w:r>
    </w:p>
    <w:p>
      <w:r>
        <w:rPr>
          <w:b/>
        </w:rPr>
        <w:t>E. 11.1</w:t>
      </w:r>
    </w:p>
    <w:p>
      <w:r>
        <w:t>Au vu de ce qui précède, l’appel doit être rejeté et le jugement entrepris confirmé.</w:t>
      </w:r>
    </w:p>
    <w:p>
      <w:r>
        <w:rPr>
          <w:b/>
        </w:rPr>
        <w:t>E. 11.2</w:t>
      </w:r>
    </w:p>
    <w:p>
      <w:r>
        <w:t>Selon l'art. 135 al. 1 CPP, le défenseur d'office est indemnisé conformément au tarif des avocats de la Confédération ou du canton du for du procès. Dans le Canton de Vaud, le tarif horaire de l’avocat d’office breveté est fixé à 180 fr.,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 la liste des opérations du 16 novembre 2020 (P. 126). Il s’ensuit que l’indemnité de Me Vincent Demierre peut être arrêtée à 2'610 fr. ([ 14 h 30 {y. c. 1 h d’audience}] x 180 fr.), montant auquel s’ajoutent 240 fr. pour deux forfaits de vacation (art. 3bis al. 3 RAJ), les débours forfaitaires de 52 fr. 20 (2'610 fr. x 2 %) et la TVA de 7.7 % sur le tout, par 223 fr. 45, ce qui donne un total de 3'125 fr. 65.</w:t>
      </w:r>
    </w:p>
    <w:p>
      <w:r>
        <w:rPr>
          <w:b/>
        </w:rPr>
        <w:t>E. 11.3</w:t>
      </w:r>
    </w:p>
    <w:p>
      <w:r>
        <w:t>Vu l’issue de la cause, les frais de la procédure d’appel, par 7'125 fr. 65, constitués de l’émolument d’audience et de jugement, par 4'000 fr. (art. 21 al. 1 et 2 TFIP), ainsi que de l’indemnité allouée au</w:t>
      </w:r>
    </w:p>
    <w:p>
      <w:r>
        <w:t>- 39 - défenseur d’office de l’appelant, par 3'125 fr. 65, seront mis à la charge de l’appelant A.________ (art. 428 al. 1 CPP). L’appelant ne sera toutefois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