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PE19.015268 vom 29. November 2025</w:t>
      </w:r>
    </w:p>
    <w:p>
      <w:r>
        <w:t>VD Tribunal cantonal, 2025-11-29, FR</w:t>
      </w:r>
    </w:p>
    <w:p>
      <w:r>
        <w:rPr>
          <w:b/>
        </w:rPr>
        <w:t xml:space="preserve">Quelle: </w:t>
      </w:r>
      <w:r>
        <w:t>https://mcp.opencaselaw.ch/entscheid/vd_gerichte_PE19.015268</w:t>
      </w:r>
    </w:p>
    <w:p>
      <w:r>
        <w:t>FR: VD_GERICHTE PE19.015268 du 29 novembre 2025</w:t>
      </w:r>
    </w:p>
    <w:p>
      <w:r>
        <w:t>IT: VD_GERICHTE PE19.015268 del 29 novembre 2025</w:t>
      </w:r>
    </w:p>
    <w:p>
      <w:pPr>
        <w:pStyle w:val="Heading2"/>
      </w:pPr>
      <w:r>
        <w:t>Erwägungen</w:t>
      </w:r>
    </w:p>
    <w:p>
      <w:r>
        <w:rPr>
          <w:b/>
        </w:rPr>
        <w:t>E. 3</w:t>
      </w:r>
    </w:p>
    <w:p>
      <w:r>
        <w:t>in fine et 4) pour leur faire part de ses préoccupations maternelles, sans y intégrer de mise en cause sexuelle de tiers, dont l’enfant n’avait pas fait état, étant souligné que ce n’est qu’à la consultation de la Dre K.________ du</w:t>
      </w:r>
    </w:p>
    <w:p>
      <w:r>
        <w:rPr>
          <w:b/>
        </w:rPr>
        <w:t>E. 6</w:t>
      </w:r>
    </w:p>
    <w:p>
      <w:r>
        <w:t>En définitive, le recours doit être rejeté dans la mesure où il est recevable, sans échange d’écritures (art. 390 al. 2 CPP), et l’ordonnance entreprise confirmée. La requête d’assistance judiciaire pour la procédure de recours présentée par F.________ est admise (art. 136 al. 3 CPP). Me Véronique Fontana, déjà consultée, sera désignée en qualité de conseil juridique gratuit. L’avocate a indiqué avoir consacré 7 heures et 30 minutes à la présente procédure de recours. Il n’y a pas lieu de s’écarter du temps annoncé, qui apparaît correct. L’indemnité qui lui sera allouée sera fixée à 1’350 fr., correspondant à 7 heures et 30 minutes d’activité au tarif horaire de 180 fr., montant auquel il convient d’ajouter des débours forfaitaires à concurrence de 2 % des honoraires admis (art. 3bis al. 1 RAJ [règlement du</w:t>
      </w:r>
    </w:p>
    <w:p>
      <w:r>
        <w:rPr>
          <w:b/>
        </w:rPr>
        <w:t>E. 7</w:t>
      </w:r>
    </w:p>
    <w:p>
      <w:r>
        <w:t>décembre 2010 sur l’assistance judiciaire en matière civile ; BLV 211.02.3], applicable par renvoi de l’art. 26b TFIP), par 27 fr., plus la TVA au taux de 8,1 %, par 111 fr. 55, soit à 1’489 fr. au total en chiffres arrondis. Vu l’issue de la cause, les frais de la procédure de recours, constitués en l’espèce de l’émolument d’arrêt (art. 422 al. 1 CPP), par 2’090 fr. (art. 20 al. 1 TFIP [tarif des frais de procédure et indemnités en matière pénale du 28 septembre 2010 ; BLV 312.03.1]), et de l’indemnité du conseil juridique gratuit de F.________, seront mis à la charge de la recourante, qui succombe (art. 428 al. 1 CPP). 12J010</w:t>
      </w:r>
    </w:p>
    <w:p>
      <w:r>
        <w:t>- 21 - Le remboursement à l’Etat de l’indemnité allouée au conseil juridique gratuit ne sera exigible que pour autant que la situation financière de F.________ le permette (art. 135 al. 4, par renvoi de l’art. 138 al. 1 CPP). Par ces motifs, la Chambre des recours pénale prononce : I. Le recours est rejeté dans la mesure où il est recevable. II. L’ordonnance du 8 avril 2025 est confirmée. III. La requête d’assistance judiciaire de F.________ est admise et Me Véronique Fontana est désignée en qualité de conseil juridique gratuit de D.________ pour la procédure de recours. IV. L’indemnité due à Me Véronique Fontana pour la procédure de recours est fixée à 1’489 fr. (mille quatre cent huitante-neuf francs). V. Les frais d’arrêt, par 2’090 fr. (deux mille nonante francs), ainsi que l’indemnité due au conseil juridique gratuit de F.________, par 1’489 fr. (mille quatre cent huitante-neuf francs), sont mis à la charge de F.________. VI. Le remboursement à l’Etat de l’indemnité allouée au chiffre IV ci-dessus ne sera exigible que pour autant que la situation financière de F.________ le permette. VII. L’arrêt est exécutoire. Le président : La greffière : Du Le présent arrêt, dont la rédaction a été approuvée à huis clos, est notifié, par l’envoi d’une copie complète, à : - Me Véronique Fontana (pour F.________), - Ministère public central, 12J010</w:t>
      </w:r>
    </w:p>
    <w:p>
      <w:r>
        <w:t>- 22 - et communiqué à : - M. le Procureur de l’arrondissement du Nord vaudois, - Me Nathalie Weber-Braune, avocate (pour G.________), - Me Vladimir Chautems, avocat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