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PE19.014713 vom 8. Juli 2021</w:t>
      </w:r>
    </w:p>
    <w:p>
      <w:r>
        <w:t>VD Tribunal cantonal, 2021-07-08, FR</w:t>
      </w:r>
    </w:p>
    <w:p>
      <w:r>
        <w:rPr>
          <w:b/>
        </w:rPr>
        <w:t xml:space="preserve">Quelle: </w:t>
      </w:r>
      <w:r>
        <w:t>https://mcp.opencaselaw.ch/entscheid/vd_gerichte_PE19.014713</w:t>
      </w:r>
    </w:p>
    <w:p>
      <w:r>
        <w:t>FR: VD_GERICHTE PE19.014713 du 8 juillet 2021</w:t>
      </w:r>
    </w:p>
    <w:p>
      <w:r>
        <w:t>IT: VD_GERICHTE PE19.014713 del 8 luglio 2021</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w:t>
      </w:r>
    </w:p>
    <w:p>
      <w:r>
        <w:rPr>
          <w:b/>
        </w:rPr>
        <w:t>E. 1.2</w:t>
      </w:r>
    </w:p>
    <w:p>
      <w:r>
        <w:t>Interjeté en temps utile devant l’autorité compétente par la prévenue qui a qualité pour recourir (art. 382 al. 1 CPP) et dans les formes prescrites (art. 385 al. 1 CPP), le recours est recevable. 2. 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w:t>
      </w:r>
    </w:p>
    <w:p>
      <w:r>
        <w:t>- 5 -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 La date du dépôt d'un acte de procédure est présumée coïncider avec celle du sceau postal (ATF 142 V 389 consid. 2.2; ATF 124 V 372 consid. 3b; TF 6B_11/2021 du 17 juin 2021 consid. 2.1). La partie qui prétend avoir déposé son acte la veille de la date attestée par le sceau postal (ou à toute autre date antérieure) a cependant le droit de renverser cette présomption par tous moyens de preuve appropriés (ATF 142 V 389 consid. 2.2; ATF 124 V 372 consid. 3b; TF 6B_157/2020 du 7 février 2020 consid. 2.3).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 à l'autorité compétente avoir respecté le délai, en présentant les moyens probatoires en attestant (TF 6B_157/2020 du 7 février 2020 consid. 2.3 et les réf. citées, SJ 2020 I 232; TF 5A_503/2019 du 20 décembre 2019 consid. 4.1; TF 8C_696/2018 du 7 novembre 2018 consid. 3.4; TF 6B_397/2012 du 20 septembre 2012 consid. 1.2). Ces principes s’appliquent notamment si l’avocat se prévaut d’un enregistrement vidéo du dépôt de son acte dans une boîte aux lettres de la Poste, dont il ressortirait que l’acte avait été déposé en temps utile. En pareil cas, il appartient à l’avocat de produire ce moyen de preuve directement à l’appui de sa requête. Autrement dit, le pli contenant l’acte doit contenir la preuve que celui-ci avait bien été déposé dans le délai légal. Ainsi, présenter un moyen probatoire après l’échéance du délai n’est pas admissible et ne permet pas de renverser la présomption découlant du</w:t>
      </w:r>
    </w:p>
    <w:p>
      <w:r>
        <w:t>- 6 - sceau postal (TF 6B_157/2020 du 7 février 2020 précité consid. 2.4; Juge unique CREP 26 mars 2021/296). 2.3 En l'espèce, l'ordonnance pénale du 7 avril 2021 a été envoyée le même jour sous pli recommandé pour notification à sa destinataire. Le pli a été distribué à la prévenue le 13 avril 2021 (P. 34/2, déjà citée). Le délai de dix jours pour former opposition est ainsi arrivé à échéance le vendredi 23 avril 2021. Le cachet postal apposé sous forme de code-barres sur l’enveloppe d’envoi mentionne toutefois une date postérieure à l’échéance du délai, à savoir le 26 avril 2021, l’envoi étant parvenu au Centre courrier d’Eclépens à 16 h le jour en question. L’opposition doit donc être présumée tardive. 2.4 Pour renverser la présomption découlant du cachet postal, la recourante soutient cependant, moyen de preuve à l’appui, avoir déposé l’acte dans une boîte postale lausannoise le vendredi 23 avril 2021 déjà, à 20h01. Ce moyen de preuve n’a toutefois été présenté que postérieurement au dépôt de l’opposition, à savoir le 29 avril 2021 (P. 34/2, déjà citée), alors qu’il aurait sans autre pu et dû être produit, spontanément, en annexe à l’opposition. Il en va d’autant ainsi que les boîtes publiques placées à l’extérieur de l’Hôtel des Postes portent l’indication de la dernière levée du courrier, soit 18h30 en semaine et 17h00 en fin de semaine et lors des jours fériés; s’agissant d’une indication apposée à l’intention des usagers du service public, le fait doit être tenu pour notoire au sens de l’art. 139 al. 2 CPP. 2.5 La recourante se prévaut au surplus d’une violation de son droit d’être entendue. Se prévalant de l’art. 107 al. 1 let. d CPP, elle fait grief au Tribunal de police de l’arrondissement de la Broye et du Nord vaudois de ne pas avoir recueilli d’explications de sa part avant de statuer sur la recevabilité de son opposition, respectivement de ne pas avoir reconsidéré son prononcé au vu des preuves produites. Contrairement à ce qu’elle allègue, la prévenue a disposé de la faculté de faire valoir ses moyens. Après avoir reçu copie de la lettre du</w:t>
      </w:r>
    </w:p>
    <w:p>
      <w:r>
        <w:t>- 7 - Ministère public du 28 avril 2021 transmettant son opposition au Tribunal d’arrondissement, elle s’est spontanément déterminée par mémoire du lendemain 29 avril 2021, adressé tant au Ministère public qu’au Tribunal d’arrondissement, en produisant les moyens de preuve nouvellement invoqués. Ultérieurement, la partie concernée a eu la possibilité de s'exprimer devant l'autorité de recours disposant d'un pouvoir d'examen complet en fait et en droit (art. 391 al. 1 CPP). En outre, il résulte de l’art. 330 CPP que le tribunal de première instance n’a l’obligation de tenir des débats que s’il y a lieu d’entrer en matière sur l’accusation. La validité de l’opposition, notamment le respect du délai dans lequel celle-ci peut être formée, est une condition d’ouverture de l’action publique (Prozessvoraussetzung; presupposto processuale), au sens des art. 329 al. 1 let. b et 339 al. 2 let. b CPP (TF 6B_1067/2018 du 23 novembre 2018 consid. 1.2 et les réf. citées; Schmid/Jositsch, Praxiskommentar, Schweizerische Strafprozess- ordnung, 3e éd., Zurich 2018, n. 2 ad art. 356 CPP; CREP 3 décembre 2018/934). Si l’opposition n’est pas valide, le tribunal de première instance ne peut pas entrer en matière sur celle-ci et il n’a dès lors pas l’obligation de fixer des débats. Partant, si, à l’occasion du contrôle préalable des conditions de recevabilité prescrit par l’art. 329 CPP, l’opposition se révèle tardive, le tribunal de première instance peut la déclarer irrecevable par une ordonnance ou une décision rendue au terme d’une procédure écrite, procédure dont il résulte a contrario de l’art. 332 CPP qu’elle est en principe applicable pendant la phase de préparation des débats. Ce n’est que s’il est impossible de vérifier la validité de l’opposition dans une telle procédure que le tribunal de première instance doit fixer des débats et traiter cette question à titre préjudiciel (art. 339 al. 2 CPP; CREP 3 décembre 2018/934). Dans le cas présent, la recourante ne prétend pas qu’il aurait été impossible de vérifier la validité de son opposition dans une procédure écrite. C’est dès lors sans fondement qu’elle reproche au Tribunal de police d’avoir violé son droit d’être entendue en statuant sans audience.</w:t>
      </w:r>
    </w:p>
    <w:p>
      <w:r>
        <w:t>- 8 - Il n’y a donc eu aucune violation du droit d’être entendue de la recourante. 2.6 Il s’ensuit que l'opposition, formée le 26 avril 2021 seulement, doit être considérée comme tardive et, partant, irrecevable. Dans ces conditions, c’est à bon droit que le Tribunal de police a constaté que l’ordonnance pénale du 7 avril 2021, assimilée à un jugement entré en force (art. 354 al. 3 CPP), était exécutoire. 3. Il résulte de ce qui précède que le recours, manifestement mal fondé, doit être rejeté sans échange d’écritures (art. 390 al. 2 CPP). La requête d’assistance judiciaire, tendant en particulier à la désignation du défenseur de choix de la recourante en qualité de défenseur d’office avec effet au 12 mai 2021, soit pour la procédure de recours, doit être rejetée. En effet, le présent recours était d’emblée dénué de toute chance de succès (CREP 2 avril 2019/262 consid. 3; Ruckstuhl, in : Niggli/Heer/Wiprächtiger [éd.], op. cit., n. 10 ad art. 132 CPP). Les frais de la procédure de recours, constitués en l’espèce du seul émolument d'arrêt (art. 422 al. 1 CPP), par 880 fr. (art. 20 al. 1 TFIP [tarif des frais de procédure et indemnités en matière pénale du 28 septembre 2010; BLV 312.03.1]), seront mis à la charge de la recourante, qui succombe (art. 428 al. 1 CPP). Par ces motifs, la Chambre des recours pénale, statuant à huis clos, prononce : I. Le recours est rejeté. II. Le prononcé du 30 avril 2021 est confirmé.</w:t>
      </w:r>
    </w:p>
    <w:p>
      <w:r>
        <w:t>- 9 - III. La requête de désignation d’un défenseur d’office pour la procédure de recours est rejetée. IV. Les frais d’arrêt, par 880 fr. (huit cent huitante francs), sont mis à la charge de la recourante. V. L’arrêt est exécutoire. Le président : Le greffier : Du Le présent arrêt, dont la rédaction a été approuvée à huis clos, est notifié, par l'envoi d'une copie complète, à : - Me Monica Mitrea, avocate (pour L.________), - Ministère public central, et communiqué à : - M. le Président du Tribunal de police de l’arrondissement de la Broye et du Nord vaudois, - Mme la Procureure du Ministère public de l’arrondissement du Nord vaudois, par l’envoi de photocopies.</w:t>
      </w:r>
    </w:p>
    <w:p>
      <w:r>
        <w:t>- 10 -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5</w:t>
      </w:r>
    </w:p>
    <w:p>
      <w:r>
        <w:t>octobre 2007; RS 312.0]), déclare l'opposition irrecevable, par exemple pour cause de tardiveté, est susceptible de recours selon les art. 393 ss CPP (Gilliéron/Killias, in : Jeanneret/Kuhn/Perrier Depeursinge [éd.], Code de procédure pénale suisse, Commentaire romand, 2e éd., Bâle 2019, n. 5 ad art. 356 CPP; Riklin, in : Niggli/Heer/Wiprächtiger [éd.], Basler Kommentar, Schweizerische Strafprozes-sordnung, Jugendstrafprozessordnung, 2e éd., Bâle 2014, n. 2 ad art. 356 CPP; CREP</w:t>
      </w:r>
    </w:p>
    <w:p>
      <w:r>
        <w:rPr>
          <w:b/>
        </w:rPr>
        <w:t>E. 8</w:t>
      </w:r>
    </w:p>
    <w:p>
      <w:r>
        <w:t>octobre 2019/817; CREP 9 septembre 2016/605).</w:t>
      </w:r>
    </w:p>
    <w:p>
      <w:r>
        <w:t>- 4 -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BLV 312.01]; art. 80 LOJV [Loi vaudoise du 12 décembre 1979 d'organisation judiciaire;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