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PE19.014694 vom 12. August 2019</w:t>
      </w:r>
    </w:p>
    <w:p>
      <w:r>
        <w:t>VD Tribunal cantonal, 2019-08-12, FR</w:t>
      </w:r>
    </w:p>
    <w:p>
      <w:r>
        <w:rPr>
          <w:b/>
        </w:rPr>
        <w:t xml:space="preserve">Quelle: </w:t>
      </w:r>
      <w:r>
        <w:t>https://mcp.opencaselaw.ch/entscheid/vd_gerichte_PE19.014694</w:t>
      </w:r>
    </w:p>
    <w:p>
      <w:r>
        <w:t>FR: VD_GERICHTE PE19.014694 du 12 août 2019</w:t>
      </w:r>
    </w:p>
    <w:p>
      <w:r>
        <w:t>IT: VD_GERICHTE PE19.014694 del 12 agosto 2019</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prévenu qui a qualité pour recourir (art. 222 et 382 al. 1 CPP), et dans les formes prescrites (art. 385 al. 1 CPP), le recours d’A.P.________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déclare n’avoir commis ni lésions corporelles, ni contrainte à l’encontre de sa mère, alors que cette dernière l’aurait frappé à plusieurs reprises.</w:t>
      </w:r>
    </w:p>
    <w:p>
      <w:r>
        <w:rPr>
          <w:b/>
        </w:rPr>
        <w:t>E. 3.2</w:t>
      </w:r>
    </w:p>
    <w:p>
      <w:r>
        <w:t>;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r>
        <w:rPr>
          <w:b/>
        </w:rPr>
        <w:t>E. 3.3</w:t>
      </w:r>
    </w:p>
    <w:p>
      <w:r>
        <w:t>En l'espèce, l’appréciation faite par le Tribunal des mesures de contrainte ne prête pas le flanc à la critique. Il existe des soupçons suffisants de culpabilité qui justifient la mise en détention provisoire d’A.P.________. En effet, force est de constater qu’à ce stade, les déclarations de la victime apparaissent crédibles et circonstanciées, contrairement aux dénégations constantes du recourant, lequel semble être dans le déni de ses actes, étant relevé que celui-ci a dû à maintes reprises être remis à l’ordre par la Procureure en raison de son agitation. S’agissant des faits en cause, on relèvera notamment que depuis le 23 mars 2019, la police est déjà intervenue à cinq reprises pour des différends entre le recourant et sa mère, qu’un rapport de dangerosité a été établi le 24 août 2017 par le médiateur de la Police cantonale à l’attention de la Justice de paix, qu’une procédure d’enquête en vue d’une</w:t>
      </w:r>
    </w:p>
    <w:p>
      <w:r>
        <w:t>- 5 - éventuelle privation de liberté à des fins d’assistance a été ouverte par- devant la Justice de paix qui y a finalement renoncé en mars 2019, encourageant toutefois fortement le recourant à entreprendre un suivi psychothérapeutique (P. 4, p. 4). En outre, il ressort du rapport de police du 23 juillet 2019 que ce jour-là, après avoir été invité par l’infirmière à quitter la pièce où sa mère devait recevoir des soins, A.P.________ a commencé à vociférer, puis a poursuivi sa crise en allant hurler des insultes à l’extérieur de la maison, l’infirmière ayant notamment entendu le terme « connasse ». Il est indiqué que cette dernière, craignant pour la sécurité de sa patiente, l’a conduite chez sa voisine d’où elle a requis l’intervention de la police. Par ailleurs, le médecin de garde sollicité lors de l’interpellation du recourant a constaté que celui-ci semblait présenter des troubles psychiques, se manifestant sous la forme d’une volonté de tout contrôler (P. 4, p. 3). On ajoutera, en ce qui concerne les violences subies par la victime le 11 juillet 2019, que ses lésions ont été attestées par un certificat médical (dossier B, P. 5). Force est de constater que les éléments qui précèdent corroborent les déclarations de la victime, de sorte qu’il y a lieu de considérer, à ce stade de l’enquête, qu’il existe des soupçons suffisants au sens de l’art. 221 al. 1 CPP.</w:t>
      </w:r>
    </w:p>
    <w:p>
      <w:r>
        <w:rPr>
          <w:b/>
        </w:rPr>
        <w:t>E. 4.1</w:t>
      </w:r>
    </w:p>
    <w:p>
      <w:r>
        <w:t>Le recourant prétend que sa mère, B.P.________, n’aurait rien à craindre s’il devait être libéré. Au contraire, il émet le souhait de la rejoindre pour pouvoir l’aider dans ses tâches administratives, ainsi que dans l’entretien de sa maison.</w:t>
      </w:r>
    </w:p>
    <w:p>
      <w:r>
        <w:rPr>
          <w:b/>
        </w:rPr>
        <w:t>E. 4.2.1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1B_10/2017 du 26 janvier 2017 consid. 4.1).</w:t>
      </w:r>
    </w:p>
    <w:p>
      <w:r>
        <w:t>- 6 -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précité consid. 2.8).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w:t>
      </w:r>
    </w:p>
    <w:p>
      <w:r>
        <w:rPr>
          <w:b/>
        </w:rPr>
        <w:t>E. 4.2.2</w:t>
      </w:r>
    </w:p>
    <w:p>
      <w:r>
        <w:t>L'art. 221 al. 2 CPP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consid. 5). Plus l'infraction redoutée est grave, plus la mise en détention se justifie lorsque les éléments disponibles ne permettent pas une évaluation précise de ce risque (ATF 140 IV 19 consid. 2.1.1 ; TF 6B_446/2015 du 19 janvier 2016 consid. 2.1 ; CREP 17 novembre 2015/743).</w:t>
      </w:r>
    </w:p>
    <w:p>
      <w:r>
        <w:rPr>
          <w:b/>
        </w:rPr>
        <w:t>E. 4.3</w:t>
      </w:r>
    </w:p>
    <w:p>
      <w:r>
        <w:t>Dans le cas présent, comme relevé à la fois par le Ministère public que le Tribunal des mesures de contrainte, A.P.________ a semblé confus, répétitif et détaché de la réalité, voire irrationnel, tant lors de son interpellation que durant son audition. En substance, au vu du dossier, on ne peut que constater que l’intéressé présente une importante</w:t>
      </w:r>
    </w:p>
    <w:p>
      <w:r>
        <w:t>- 8 - instabilité psychologique, qui pourrait l’amener à adopter un comportement imprévisible et agressif, tant physiquement que verbalement, notamment à l’encontre de sa mère, étant souligné que cette dernière a fait état par le passé de plusieurs menaces de mort, de crises de violence, d’un probable trouble psychique et d’un besoin obsessionnel de tout contrôler (PV d’audition de B.P.________, p. 5). De plus, on relèvera que la police est intervenue à cinq reprises depuis le 23 mars 2019 pour des différends impliquant le recourant et sa mère, que cette dernière a déjà déposé plainte pour des faits similaires à ceux de la présente enquête en avril 2018, que le recourant semble également avoir adopté un comportement violent à l’égard de sa future ex-épouse, en la frappant à tout le moins à une reprise, qu’une mesure d’éloignement de sa fille [...] a été prononcée contre lui, dès lors qu’il la harcelait pour avoir un contrôle absolu de ses faits et gestes et que, de manière générale, ses enfants ne souhaitent plus avoir de contact avec lui (P. 4, p. 4). En outre, un rapport de dangerosité aurait été établi le 24 août 2017 dans le cadre d’une procédure de privation de liberté à des fins d’assistance, au terme de laquelle l’intéressé aurait été fortement encouragé à mettre en place un suivi psychothérapeutique (P. 4, p. 4). On ajoutera que le caractère imprévisible du prévenu est attesté par le comportement qu’il adopté au cours d’une audience de divorce en septembre 2017, au cours de laquelle, il s’est mis un sac en plastique sur la tête, geste qui a nécessité son hospitalisation à l’Hôpital de Prangins (P. 4, p. 4, PV audition 1, lignes 170 et 171). Enfin, le recourant est actuellement hospitalisé dans la division cellulaire de l’Hôpital de l’Ile à Berne, ce qui dénote l’état instable de ce dernier. On relèvera encore, s’agissant du risque de passage à l’acte, qu’il ressort du rapport de police que lors de son transfert à l’Hôtel de police, le recourant aurait épelé le mot « CRIME » en disant que sa mère avait de la chance qu’il prenne soin d’elle et qu’elle devait lui dire « MERCI » toujours en épelant le mot, précisant que ces deux mots contenaient les mêmes lettres ; qu’il est ressorti de l’enquête de voisinage que le prévenu se vantait de posséder trois cartouches prêtes à être utilisées (P. 4, p. 4) ; qu’il a contesté posséder des armes et que, lors de la</w:t>
      </w:r>
    </w:p>
    <w:p>
      <w:r>
        <w:t>- 9 - perquisition effectuée à son domicile, des armes ont été retrouvées, lesquelles ne seraient pas enregistrées. Au vu de ce qui précède – et bien que le casier judiciaire du recourant soit vierge – le risque qu’il s’en prenne à nouveau à l’intégrité physique de sa mère, voire qu’il ne mette ses menaces de mort à exécution est patent. 5. L’autorité intimée a également retenu le risque de collusion, estimant que l’on ne pouvait que craindre, au regard de la personnalité du recourant, qu’il ne prenne contact avec sa mère, voire avec d’autres membres de sa famille, lesquels devaient être entendus, et qu’il n’exerce des pressions sur eux pour les amener à témoigner dans un sens qui lui serait favorable, étant souligné que la victime a d’ores et déjà retiré une précédente plainte pénale (cf. P. 7). Les conditions posées par l'art. 221 CPP étant alternatives (TF 1B_242/2016 du 21 juillet 2016 consid. 5), l’existence des risques de réitération et de passage à l’acte dispense l'autorité de céans d'examiner si le prévenu présente également un risque de collusion. 6. 6.1 Dans ses déterminations au Tribunal des mesures de contrainte du 25 juillet 2019, le recourant a conclu au prononcé de mesures de substitution tendant en substance à suivre un traitement psychologique ambulatoire, à ne pas s’approcher de sa mère et à ne pas entretenir de relations avec cette dernière. 6.2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Cette exigence est concrétisée par l'art. 237 al. 1 CPP, qui prévoit que le tribunal compétent</w:t>
      </w:r>
    </w:p>
    <w:p>
      <w:r>
        <w:t>- 10 -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 ATF 133 I 270 consid. 2.2 ; TF 1B_165/2012 du 12 avril 2012 consid. 2.3 ; Schmocker, op. cit., n. 2 ad art. 237 CPP). 6.3 En l’espèce, force est de constater que les mesures de substitution proposées par la défense apparaissent en l’état insuffisantes pour pallier les risques de réitération et de passage à l’acte. En effet, s’agissant des interdictions faites au recourant de s’approcher de sa mère ou d’entretenir des relations avec elle, il semble illusoire qu’elles puissent être respectées, A.P.________ déclarant lui-même, dans son acte de recours, souhaiter être libéré de détention provisoire afin de pouvoir rejoindre sa mère le plus rapidement possible. Quant à la mesure de substitution à forme d’un traitement psychologique ambulatoire, comme indiqué à juste titre par l’autorité intimée, elle n’est aucunement documentée et paraît en outre prématurée, puisque l’on ignore à ce stade la nature des troubles dont souffrirait le prévenu.</w:t>
      </w:r>
    </w:p>
    <w:p>
      <w:r>
        <w:t>- 11 - S’agissant enfin de la durée de la détention provisoire sollicitée, à savoir trois mois, elle paraît proportionnée aux opérations d’instruction envisagées par le Ministère public – dont notamment la mise en œuvre d’une expertise psychiatrique – et à la peine susceptible d’être prononcée en cas de condamnation. 7. Il résulte de ce qui précède que le recours, manifestement mal fondé, doit être rejeté sans échange d’écritures (art. 390 al. 2 CPP) et l’ordonnance querellée confirmée. Les frais de la procédure de recours, constitués en l'espèce de l'émolument d'arrêt, par 1'100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du 25 juillet 2019 est confirmée. III. Les frais d’arrêt, par 1'100 fr. (mille cent francs), sont mis à la charge d’A.P.________. IV. L’arrêt est exécutoire. Le président : Le greffier :</w:t>
      </w:r>
    </w:p>
    <w:p>
      <w:r>
        <w:t>- 12 - Du Le présent arrêt, dont la rédaction a été approuvée à huis clos, est notifié, par l'envoi d'une copie complète, à : - Me Franck-Olivier Karlen, avocat (pour A.P.________), - Ministère public central, et communiqué à : - Mme la Présidente du Tribunal des mesures de contrainte, - Mme la Procureure de l’arrondissement de La Côte, - Mme B.P.________,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9</w:t>
      </w:r>
    </w:p>
    <w:p>
      <w:r>
        <w:t>précité consid. 2.9 ; TF 1B_206/2018 du 23 mai 2018 consid. 3.1). Bien qu'une application littérale de l'art. 221 al. 1 let. c CPP suppose l'existence d'antécédents, le risque de réitération peut être</w:t>
      </w:r>
    </w:p>
    <w:p>
      <w:r>
        <w:t>- 7 -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ATF 137 IV 84 consid. 3.2 et les réf. citées ; TF 1B_3/2019 du 17 janvier 2019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