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PE19.014623 vom 10. Juni 2021</w:t>
      </w:r>
    </w:p>
    <w:p>
      <w:r>
        <w:t>VD Tribunal cantonal, 2021-06-10, FR</w:t>
      </w:r>
    </w:p>
    <w:p>
      <w:r>
        <w:rPr>
          <w:b/>
        </w:rPr>
        <w:t xml:space="preserve">Quelle: </w:t>
      </w:r>
      <w:r>
        <w:t>https://mcp.opencaselaw.ch/entscheid/vd_gerichte_PE19.014623</w:t>
      </w:r>
    </w:p>
    <w:p>
      <w:r>
        <w:t>FR: VD_GERICHTE PE19.014623 du 10 juin 2021</w:t>
      </w:r>
    </w:p>
    <w:p>
      <w:r>
        <w:t>IT: VD_GERICHTE PE19.014623 del 10 giugno 2021</w:t>
      </w:r>
    </w:p>
    <w:p>
      <w:pPr>
        <w:pStyle w:val="Heading2"/>
      </w:pPr>
      <w:r>
        <w:t>Erwägungen</w:t>
      </w:r>
    </w:p>
    <w:p>
      <w:r>
        <w:rPr>
          <w:b/>
        </w:rPr>
        <w:t>E. 1</w:t>
      </w:r>
    </w:p>
    <w:p>
      <w:r>
        <w:t>CPP), et satisfaisant aux conditions de forme prescrites (art. 385 al. 1 CPP), le recours de Z.________ est recevable.</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w:t>
      </w:r>
    </w:p>
    <w:p>
      <w:r>
        <w:rPr>
          <w:b/>
        </w:rPr>
        <w:t>E. 2</w:t>
      </w:r>
    </w:p>
    <w:p>
      <w:r>
        <w:t>; TF 6B_589/2009 du 14 septembre 2009 consid. 2.1.1) ainsi qu'une approbation écrite inexacte émanant d'un architecte chargé par le maître d'ouvrage de vérifier des factures (ATF 119 IV 54 consid. 2d/dd ; TF 6B_1096/2015 du 9 décembre 2015 consid. 3.3; 6S.99/ 2003 du 26 mai</w:t>
      </w:r>
    </w:p>
    <w:p>
      <w:r>
        <w:t>- 18 - 2003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(ATF 120 IV 361 consid. 2c). Toutefois, le seul fait que le document mentionne ou soit matériellement rédigé par une personne qui jouit dans les faits d'un crédit particulier – comme un notaire –n'accroît pas sa valeur probante (ATF 146 IV 258 consid. 1.1.2 et les références citées). Le faux dans les titres est une infraction intentionnelle. L’intention doit porter sur tous les éléments constitutifs de l’infraction. Le dol éventuel suffit (ATF 141 IV 369 précité consid. 7.4). Ainsi, l’auteur doit être conscient que le document est un titre et savoir que le contenu ne correspond pas à la vérité. Enfin, il doit avoir voulu (faire) utiliser le titre en le faisant passer pour véridique, ce qui présuppose l’intention de tromper (ATF 135 IV 12 consid. 2.2).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précité ; ATF 138 IV 130 précité consid. 3.2.4 et les références citées).</w:t>
      </w:r>
    </w:p>
    <w:p>
      <w:r>
        <w:rPr>
          <w:b/>
        </w:rPr>
        <w:t>E. 2.1</w:t>
      </w:r>
    </w:p>
    <w:p>
      <w:r>
        <w:t>Invoquant une violation du principe in dubio pro duriore, le recourant soutient que les mesures entreprises par le Ministère public seraient insuffisantes et qu’une ordonnance de classement serait prématurée, les infractions de faux dans les titres et de gestion déloyale ne pouvant pas être exclues. Il se plaint également d’une violation de son droit d’être entendu dans la mesure où le Ministère public n’aurait pas procédé aux mesures d’instruction qu’il avait requises. Il ne conteste en revanche pas le classement de la procédure s’agissant de l’infraction d’escroquerie.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w:t>
      </w:r>
    </w:p>
    <w:p>
      <w:r>
        <w:t>- 14 -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t>- 15 -</w:t>
      </w:r>
    </w:p>
    <w:p>
      <w:r>
        <w:t>- 16 -</w:t>
      </w:r>
    </w:p>
    <w:p>
      <w:r>
        <w:rPr>
          <w:b/>
        </w:rPr>
        <w:t>E. 2.3.1</w:t>
      </w:r>
    </w:p>
    <w:p>
      <w:r>
        <w:t>S’agissant de l’infraction de faux dans les titres, le recourant soutient que les documents intitulés « Transaction notification » devraient être considérés comme des faux intellectuels. Etablis par une banque, ces documents jouiraient d’une fiabilité particulière et auraient de ce fait une valeur probante accrue. Or, ils ne correspondraient pas à la réalité puisqu’ils indiqueraient que les transactions ont été effectuées via la plateforme U.________, alors que les positions du recourant auraient été reprises dans les livres de R.________. Alléguant que l’infraction de faux dans les titres pourrait également être commise par omission, le recourant ajoute que la banque n’aurait pas rectifié le contenu des documents litigieux, alors qu’elle savait que leurs informations étaient fausses.</w:t>
      </w:r>
    </w:p>
    <w:p>
      <w:r>
        <w:rPr>
          <w:b/>
        </w:rPr>
        <w:t>E. 2.3.2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w:t>
      </w:r>
    </w:p>
    <w:p>
      <w:r>
        <w:t>- 17 - véracité de la déclaration (ATF 146 IV 258 consid. 1.1 ; ATF 144 IV 13 consid. 2.2.2 ; TF 6B_261/2020 et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et les références citées ; TF 6B_261/2020 et 6B_270/2020 précités consid. 4.2). Le faux intellectuel implique donc un mensonge écrit qualifié. Il ne sera admis que si une valeur probante accrue est accordée à un document et que le destinataire de ce document lui manifeste une confiance particulière (ATF 138 IV 209 consid. 5.3, JdT 2013 IV 179). La jurisprudence considère que certains documents possèdent une valeur probante accrue en raison de la fonction de la personne qui les établit – cette personne se trouvant dans une position comparable à celle d'un garant à l'égard des personnes induites en erreur (ATF 146 IV 258 consid. 1.1.2 ; ATF 123 IV 61 consid. 5c/cc ; ATF 121 IV 131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w:t>
      </w:r>
    </w:p>
    <w:p>
      <w:r>
        <w:rPr>
          <w:b/>
        </w:rPr>
        <w:t>E. 2.3.3</w:t>
      </w:r>
    </w:p>
    <w:p>
      <w:r>
        <w:t>En l’occurrence, les documents intitulés « Transaction notification » doivent être considérés comme des titres. Contrairement à ce qu’a considéré le procureur, il n’est pas déterminant qu’ils aient été émis à la suite du non-respect des dispositions contractuelles liant le plaignant à sa banque et non dans le cadre d’un mandat de gestion. Ces documents ne peuvent pas être assimilés à de simples factures. Dans la mesure où ils ont été établis par une banque, il s’agit de documents auxquels une confiance particulière doit être accordée. On doit par conséquent admettre qu’ils ont une valeur probante accrue qui rend possible la commission d’un faux intellectuel.</w:t>
      </w:r>
    </w:p>
    <w:p>
      <w:r>
        <w:t>- 19 - Tel n’est toutefois pas le cas en l’espèce. D’une part, R.________ a expliqué que les documents litigieux étaient générés automatiquement et que son système informatique ne permettait pas d’y faire apparaître distinctement si la transaction concernée était une vente effectuée sur une plateforme boursière ou s’il s’agissait d’une reprise de compte interne. Les informations retranscrites sur ces documents étaient reprises des indications relatives au produit à disposition sur la plateforme de trading où le titre était négocié (P. 54). On peut par ailleurs relever que le fait qu’ils indiquent que les transactions ont été effectuées conformément aux ordres du plaignant (« in accordance with your buy order »), alors que tel n’est pas le cas – le recourant ne s’en est du reste pas plaint –, corrobore qu’il s’agit de documents générés automatiquement (cf. P. 9/1 à 9/10). D’autre part, il ressort des annexes à la pièce 54 (« Global order informations », P. 54/2 à 13) que les indications figurant sur le deuxième pan des transactions concernées permettaient de voir qu’il y avait eu une reprise interne des options (« Internal_account »). A cela s’ajoute enfin le fait que les transactions litigieuses ont bien été effectuées au prix indiqué sur ces documents et qu’elles l’ont été conformément aux dispositions contractuelles prévues en cas de non- satisfaction de l’appel de marge de la banque (cf. consid. 2.4.1 ci-dessous et P. 31/5, p. 5, chiffre 4.8). Il n’existe par conséquent aucun indice laissant penser que R.________ se serait livrée à une falsification de documents et qu’elle aurait eu le dessein de porter atteinte aux droits du recourant ou de se procurer un avantage illicite. R.________ a agi conformément aux dispositions contractuelles qui la liaient au recourant et il n’appartient pas au juge pénal d’examiner le bien-fondé de celles-ci. Enfin, on ne voit pas quelle mesure d’instruction supplémentaire devrait être ordonnée et le recourant ne le précise pas. Partant, c’est à juste titre que le procureur a ordonné le classement de la procédure pour faux dans les titres.</w:t>
      </w:r>
    </w:p>
    <w:p>
      <w:r>
        <w:rPr>
          <w:b/>
        </w:rPr>
        <w:t>E. 2.4</w:t>
      </w:r>
    </w:p>
    <w:p>
      <w:r>
        <w:t>- 20 -</w:t>
      </w:r>
    </w:p>
    <w:p>
      <w:r>
        <w:rPr>
          <w:b/>
        </w:rPr>
        <w:t>E. 2.4.1</w:t>
      </w:r>
    </w:p>
    <w:p>
      <w:r>
        <w:t>S’agissant de l’infraction de gestion déloyale, le recourant soutient qu’en décidant de clôturer ses positions et de les reprendre dans ses livres, R.________ aurait agi sur la base d’un mandat de gestion non écrit, dès lors qu’à ce moment-là, elle gérait de manière indépendante les actifs du plaignant et que celui-ci était privé de la possibilité de le faire lui- même. A ce titre, R.________ aurait été tenue d’agir dans l’intérêt du recourant et n’aurait pas eu le droit de reprendre, pour son propre compte, les positions du plaignant à des prix surévalués et à un montant plus défavorable que les prix du marché. De surcroît, en reprenant les positions du plaignant dans ses livres, R.________ se serait créé une opportunité de clôturer celles-ci sur la plateforme U.________ au prix du marché et de réaliser un profit sans risque. Le Ministère public aurait dû requérir des explications complémentaires à ce sujet. Le recourant relève ensuite l’existence d’un conflit d’intérêts et soutient qu’en s’octroyant des prix avantageux, R.________ lui aurait porté atteinte intentionnellement, en augmentant sa dette ou, à tout le moins, en ne la réduisant pas. Le recourant conteste également l’existence d’une situation d’appel de marge en février 2018 et soutient que celle-ci n’aurait jamais été démontrée par la banque. A titre de mesures d’instruction, le recourant requiert que le collaborateur de R.________ apparaissant sous la mention « [...]» soit identifié et entendu, qu’il soit ordonné à R.________ de produire tout document démontrant qu’un prix favorable avait été attribué à ses positions ainsi que tout document attestant des prix du marché au moment des transactions litigieuses, en particulier l’état des « bid » et des « ask », et qu’il soit ordonné à la plateforme U.________ de produire les documents permettant d’attester des parties ayant effectué les transactions relatives aux options OSMI […]-P 7950, OSMI […]-P 7900 et OSMI […]-P 7850. En substance, selon le recourant, ces mesures d’instruction permettraient de déterminer si la reprise de ses positions par la banque était régulière et si le « fair price » qu’elle leur avait attribué était réellement un prix plus favorable au plaignant comme elle l’avait affirmé.</w:t>
      </w:r>
    </w:p>
    <w:p>
      <w:r>
        <w:t>- 21 -</w:t>
      </w:r>
    </w:p>
    <w:p>
      <w:r>
        <w:rPr>
          <w:b/>
        </w:rPr>
        <w:t>E. 2.4.2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(ATF 123 IV 17 consid. 3e ; TF 6B_289/2020 du 1er décembre 2020 consid. 9.1 et les références citées ; Corboz, Les infractions en droit suisse, vol. I, 3e éd., Berne 2010, n. 13 ad art. 158 CP). Selon la jurisprudence, revêt la qualité de gérant celui à qui il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 ATF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w:t>
      </w:r>
    </w:p>
    <w:p>
      <w:r>
        <w:t>- 22 -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6B_289/2020 précité ; TF 6B_438/2019 du 28 mai 2019 consid. 4.1 ; TF 6B_1030/2018 du 20 novembre 2018 consid. 1.1).</w:t>
      </w:r>
    </w:p>
    <w:p>
      <w:r>
        <w:rPr>
          <w:b/>
        </w:rPr>
        <w:t>E. 2.4.3</w:t>
      </w:r>
    </w:p>
    <w:p>
      <w:r>
        <w:t>En l’espèce, R.________ n’avait pas le devoir de gérer les biens du plaignant et de veiller à la sauvegarde générale des intérêts de celui-ci. Au contraire, le contrat de négoce d’options et futures qu’ils ont signé prévoyait expressément que le client était seul responsable de la gestion et de la surveillance de ses positions (cf. P. 31/5, chiffres 4.6.i et 4.8.vi). Le recourant effectuait ainsi lui-même des opérations boursières sur la plateforme de trading de R.________ et celle-ci n’intervenait ni en qualité de gérant ni en qualité de conseiller en placement. Le contrat qu’ils ont signé prévoyait en outre que la banque décidait unilatéralement de procéder à des appels de marge et que le client ne pouvait s’y opposer (cf. P. 31/5, chiffre 4.7). Le recourant ne saurait par conséquent contester la situation d’appel de marge invoquée par la banque. Il a au demeurant reconnu qu’en février 2018, les marchés avaient connu une forte augmentation de la volatilité (PV aud. 1). Par ailleurs, le contrat précité prévoyait qu’en cas de non-satisfaction de l’appel de marge, R.________ pouvait clôturer en tout temps tout ou partie des positions du client selon sa libre appréciation et sans avoir à fixer au préalable de délai pour honorer son appel de marge (cf. chiffre 4.8.i). On rappellera à cet égard que le système de sûreté mis en place par la banque pour les transactions sur dérivés était destiné à protéger ses propres intérêts, non ceux du client. Or, Z.________ a accepté les conditions de ce contrat, qui mentionne expressément qu’il serait seul responsable « des éventuels pertes, dommages ou autres conséquences » liés à la liquidation forcée de ses positions (cf. chiffre 4.8.i). Aucune responsabilité ne peut par conséquent</w:t>
      </w:r>
    </w:p>
    <w:p>
      <w:r>
        <w:t>- 23 - être imputée à R.________ à ce titre. Il convient en outre de relever que le plaignant avait été dûment informé des risques auxquels il s’exposait, en particulier de l’incidence de l’effet de levier et du risque de perte considérable qu’il courait (cf. chiffre 4.5). S’agissant en particulier des devoirs de la banque lors de la clôture des positions du recourant, le contrat n’indique pas comment la valeur de liquidation des options devait être calculée. Il ne contient aucune disposition stipulant qu’une liquidation forcée devait se faire au mieux des intérêts du client et précise, bien au contraire, que cette opération pouvait être exécutée « à la libre appréciation de la banque » et « à un prix très défavorable » (cf. chiffres 4.8.i et 4.8.ii). Le conflit d’intérêts résultant du fait que la banque ait repris les positions du plaignant pour son propre compte en déterminant elle-même un « fair price » ne suffit pas à fonder la commission d’une infraction pénale. A cet égard, il faut relever que la créance de R.________ découlant de la liquidation du contrat la liant au recourant a été reconnue par les juridictions civiles russes. Compte tenu de ce qui précède, on ne saurait reprocher à R.________ d’avoir violé une obligation de gestion à l’égard du plaignant. Partant, les conditions de l’art. 158 CP ne sont pas réalisées. Aucune des quatre mesures d’instruction requises par le recourant ne permettrait de démontrer le contraire. On ne distingue ainsi aucune violation de son droit d’être entendu ni du principe in dubio pro duriore, puisqu’un renvoi aboutirait très certainement à un acquittement. C’est donc à juste titre que le procureur a ordonné le classement de la procédure sur ce point également.</w:t>
      </w:r>
    </w:p>
    <w:p>
      <w:r>
        <w:rPr>
          <w:b/>
        </w:rPr>
        <w:t>E. 3</w:t>
      </w:r>
    </w:p>
    <w:p>
      <w:r>
        <w:t>En définitive, le recours, manifestement mal fondé, doit être rejeté sans échange d’écritures (art. 390 al. 2 CPP) et l’ordonnance entreprise confirmée. Les frais de la procédure de recours, constitués en l’espèce du seul émolument d’arrêt (art. 422 al. 1 CPP), par 2’200 fr. (art. 20 al. 1 TFIP</w:t>
      </w:r>
    </w:p>
    <w:p>
      <w:r>
        <w:t>- 24 - [Tarif des frais de procédure et indemnités en matière pénale du 28 septembre 2010 ; BLV 312.03.1]), seront mis à la charge du recourant, qui succombe (art. 428 al. 1 CPP). Par ces motifs, la Chambre des recours pénale prononce : I. Le recours est rejeté. II. L’ordonnance du 11 mai 2021 est confirmée. III. Les frais d’arrêt, par 2’200 fr. (deux mille deux cents francs), sont mis à la charge de Z.________. IV. L’arrêt est exécutoire. Le président : La greffière : Du Le présent arrêt, dont la rédaction a été approuvée à huis clos, est notifié, par l'envoi d'une copie complète, à : - Me Pascal de Preux, avocat (pour Z.________), - Ministère public central, et communiqué à : - M. le Procureur du Ministère public central, division criminalité économique,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