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PE19.014614 vom 5. Juli 2022</w:t>
      </w:r>
    </w:p>
    <w:p>
      <w:r>
        <w:t>VD Tribunal cantonal, 2022-07-05, FR</w:t>
      </w:r>
    </w:p>
    <w:p>
      <w:r>
        <w:rPr>
          <w:b/>
        </w:rPr>
        <w:t xml:space="preserve">Quelle: </w:t>
      </w:r>
      <w:r>
        <w:t>https://mcp.opencaselaw.ch/entscheid/vd_gerichte_PE19.014614</w:t>
      </w:r>
    </w:p>
    <w:p>
      <w:r>
        <w:t>FR: VD_GERICHTE PE19.014614 du 5 juillet 2022</w:t>
      </w:r>
    </w:p>
    <w:p>
      <w:r>
        <w:t>IT: VD_GERICHTE PE19.014614 del 5 luglio 2022</w:t>
      </w:r>
    </w:p>
    <w:p>
      <w:pPr>
        <w:pStyle w:val="Heading2"/>
      </w:pPr>
      <w:r>
        <w:t>Erwägungen</w:t>
      </w:r>
    </w:p>
    <w:p>
      <w:r>
        <w:rPr>
          <w:b/>
        </w:rPr>
        <w:t>E. 7.1</w:t>
      </w:r>
    </w:p>
    <w:p>
      <w:r>
        <w:t>L’appelant conteste encore sa condamnation pour injure. En réalité, il revient sur des éléments factuels qui ont déjà été examinés, à savoir que la plaignante n’était pas crédible et que la vidéosurveillance montrerait qu’il n’y aurait pas eu d’injure. Il ajoute qu’il avait souhaité déposer plainte contre la plaignante qui l’avait aussi insulté avant qu’il ne la traite de « sale pute » ce qui serait attesté par les échanges avec son précédent conseil.</w:t>
      </w:r>
    </w:p>
    <w:p>
      <w:r>
        <w:t>- 27 -</w:t>
      </w:r>
    </w:p>
    <w:p>
      <w:r>
        <w:rPr>
          <w:b/>
        </w:rPr>
        <w:t>E. 7.2</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w:t>
      </w:r>
    </w:p>
    <w:p>
      <w:r>
        <w:rPr>
          <w:b/>
        </w:rPr>
        <w:t>E. 7.3</w:t>
      </w:r>
    </w:p>
    <w:p>
      <w:r>
        <w:t>En l’occurrence, il n’a pas été mentionné dans l’acte d’accusation et cela ne ressort pas de la déclaration de la vidéo, encore une fois de très mauvaise qualité, que la plaignante aurait commencé par injurier le prévenu. Quoi qu’il en soit, peu importe qu’il ait eu l’intention de déposer plainte, il ne l’a pas fait. Par conséquent, il n’y a pas lieu de l’exempter de peine pour ce motif, ce qu’il ne requiert du reste pas formellement. Pour le surplus, la crédibilité de la partie plaignante a déjà été examinée. Le moyen doit être rejeté.</w:t>
      </w:r>
    </w:p>
    <w:p>
      <w:r>
        <w:rPr>
          <w:b/>
        </w:rPr>
        <w:t>E. 8.1</w:t>
      </w:r>
    </w:p>
    <w:p>
      <w:r>
        <w:t>L’appelant, conclut subsidiairement à une peine réduite dans une large mesure, tenant compte des infractions pour lesquelles il aura été acquitté.</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- 28 -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8.3</w:t>
      </w:r>
    </w:p>
    <w:p>
      <w:r>
        <w:t>La condamnation de l’appelant pour contrainte sexuelle et injure étant confirmée, seule entre encore en considération la fixation de la peine en tant que telle. En l’occurrence, la Cour de céans considère que la peine privative de liberté de trois mois pour sanctionner la contrainte sexuelle et la peine pécuniaire de 10 jours-amende à 10 fr. le jour pour sanctionner les injures, prononcées par le premier juge sont adéquates. Ces peines ont été fixées selon les critères légaux et la culpabilité de l’appelant, qui est importante. En effet, Z.________ a profité de la situation de supériorité dans laquelle il se trouvait par rapport à sa victime, que ce soit tant sur le plan physique que sur le plan de l’expérience de vie (il est de 32 ans son aîné). Il s’est attaqué, dans le cadre professionnel, à une jeune femme en période d’essai et qu’il devait former. Les actes sont en concours au sens de l’art. 49 al. 1 CP. Par ailleurs, Z.________ n’a toujours pas pris conscience de la gravité de ses actes et ne se remet pas en question puisqu’il persiste, en appel encore, par son défenseur, à nier les faits. Avec le premier juge, on ne distingue aucun élément à décharge. Pour le surplus, il peut être renvoyé à la motivation du premier juge (jugement attaqué, pp. 18 et 19; art. 82 al. 4 CPP), qui est claire et convaincante. Les conditions du sursis sont par ailleurs réalisées et la durée de trois ans est adéquate.</w:t>
      </w:r>
    </w:p>
    <w:p>
      <w:r>
        <w:t>- 29 - L’appelant bénéficiant du sursis, l’amende de 300 fr. prononcée par le Tribunal de police à titre de sanction immédiate peut être confirmée, de même que la peine privative de liberté de substitution de trois jours en cas de non-paiement fautif.</w:t>
      </w:r>
    </w:p>
    <w:p>
      <w:r>
        <w:rPr>
          <w:b/>
        </w:rPr>
        <w:t>E. 9.1</w:t>
      </w:r>
    </w:p>
    <w:p>
      <w:r>
        <w:t>L’appelant conteste l’indemnité allouée à U.________ à titre d’indemnité pour tort moral. Il nie que l’intimée ait été affectée par les actes qu’on lui reproche. Selon lui, elle avait dit après les faits qu’elle parlerait à la Police s’il recommençait. D’ailleurs elle évoque les messages Whatsapp mais non l’agression. Selon lui, la plaignante était prête à passer l’éponge et à continuer à travailler. C’était ainsi plutôt les évènements du 10 juillet 2019 et son licenciement qui avaient provoqué la crise psychologique ayant nécessité son hospitalisation, d’autant qu’elle avait un état dépressif préexistant pour lequel elle était déjà traitée. Il était donc impossible de déterminer quel effet concret la soi-disant commission des infractions alléguée avait pu influencer l’état de santé de la plaignante.</w:t>
      </w:r>
    </w:p>
    <w:p>
      <w:r>
        <w:rPr>
          <w:b/>
        </w:rPr>
        <w:t>E. 9.2</w:t>
      </w:r>
    </w:p>
    <w:p>
      <w:r>
        <w:t>L'art. 49 al. 1 CO (loi fédérale complétant le Code civil suisse [Livre cinquième :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w:t>
      </w:r>
    </w:p>
    <w:p>
      <w:r>
        <w:t>- 30 -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9.3</w:t>
      </w:r>
    </w:p>
    <w:p>
      <w:r>
        <w:t>En l’espèce, le premier juge a retenu qu’il ne faisait aucun doute, au regard des déclarations de l’intéressée, de son internement à Cery, et du rapport médical relatif à ce suivi qu’elle avait été très affectée par les actes que lui avait imposés le prévenu. Cette appréciation ne prête pas le flanc à la critique et doit être confirmée. En effet, avec les premiers juges, il faut retenir que l’atteinte sexuelle et morale subie par la plaignante justifie l’octroi d’une indemnité. On précisera à cet égard que le certificat produit décrit non seulement l’état de la patiente mais le met directement en lien avec les évènements reprochés à l’appelant, ce qui démontre qu’elle a été affectée par les actes qui lui ont été imposés par le prévenu, sur son lieu de travail. A l’audience d’appel la Cour de céans a en outre pu constater le désarroi dans lequel se trouvait U.________ au moment de l’évocation des faits. L’indemnité est ainsi justifiée sur le principe et en quotité, de sorte que le montant de 3'000 fr. alloué par le premier juge à titre d’indemnité pour le tort moral subi, peut être confirmé.</w:t>
      </w:r>
    </w:p>
    <w:p>
      <w:r>
        <w:rPr>
          <w:b/>
        </w:rPr>
        <w:t>E. 10</w:t>
      </w:r>
    </w:p>
    <w:p>
      <w:r>
        <w:t>Au vu de ce qui précède, l’appel de Z.________ doit être rejeté et le jugement entrepris entièrement confirmé. Me Grégoire Vetterli, pour Gaspard Couchepin, défenseur d’office de Z.________, a produit une liste d’opérations dont il ressort un temps total de 52h25 heures d’activité d’avocat breveté. C’est excessif. A</w:t>
      </w:r>
    </w:p>
    <w:p>
      <w:r>
        <w:t>- 31 - cet égard, on relève en effet que cet avocat assistait déjà le prévenu devant l’autorité de première instance. En outre, pour une grande partie, celui-ci a fait valoir en appel les mêmes arguments que ceux déjà déployés devant les premiers juges. Dans ces conditions, il y a lieu de considérer que, dans le cas particulier, une activité d’avocat de 16h00 était suffisante pour permettre à l’avocat d’accomplir sa tâche de façon raisonnable, étant par ailleurs précisé que le temps annoncé pour la mise en conformité de la déclaration d’appel ne saurait être indemnisé. On retiendra ainsi ex aequo et bono, 16 heures d’activité nécessaire d’avocat, soit 3h00 pour l’étude du dossier (déjà connu), 7h00 pour la rédaction de la déclaration d’appel, 2h00 pour l’entretien avec le client et les courriers, 2h00 pour la préparation de l’audience, 1h00 pour l’audience elle-même, et 1h00 pour les opérations post-audience. Au tarif horaire de 180 fr. pour l’avocat breveté, l’indemnité de défenseur d'office qui doit être allouée pour la procédure d'appel s’élève à 3'293 fr. 05, soit des honoraires de 2’880 fr., auxquels s’ajoutent les débours forfaitaires de 2 %, par 57 fr. 60, une vacation, par 120 fr., et la TVA sur le tout, par 235 fr. 45. S’agissant de la liste des opérations déposée par Me Zakia Anouni, conseil d’office de U.________, il n’y a pas lieu de s’écarter de la durée alléguée, si ce n’est pour ajouter la durée de l’audience d’appel, soit 1h00. Au tarif horaire de 180 fr. pour l’avocat breveté, l’indemnité de défenseur d'office qui doit être allouée pour la procédure d'appel s’élève à 2'129 fr. 67, soit des honoraires de 1’821 fr., auxquels s’ajoutent les débours forfaitaires de 2 %, par 36 fr. 42, une vacation, par 120 fr., et la TVA sur le tout, par 152 fr. 25. Vu l’issue de la cause, les frais de la procédure d’appel, par 8'462 fr. 70, constitués de l’émolument de jugement et d’audience, par 3’040 fr. (art. 21 al. 1 et 2 TFIP [tarif des frais de procédure et indemnités en matière pénale du 28 septembre 2010 ; BLV 312.03.1]), de l’indemnité due défenseur d’office, par 3’293 fr. 05 et de l’indemnité due</w:t>
      </w:r>
    </w:p>
    <w:p>
      <w:r>
        <w:t>- 32 - au conseil d’office, par 2’129 fr. 67, seront mis à la charge de Z.________,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