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PE19.014427 vom 8. November 2019</w:t>
      </w:r>
    </w:p>
    <w:p>
      <w:r>
        <w:t>VD Tribunal cantonal, 2019-11-08, FR</w:t>
      </w:r>
    </w:p>
    <w:p>
      <w:r>
        <w:rPr>
          <w:b/>
        </w:rPr>
        <w:t xml:space="preserve">Quelle: </w:t>
      </w:r>
      <w:r>
        <w:t>https://mcp.opencaselaw.ch/entscheid/vd_gerichte_PE19.014427</w:t>
      </w:r>
    </w:p>
    <w:p>
      <w:r>
        <w:t>FR: VD_GERICHTE PE19.014427 du 8 novembre 2019</w:t>
      </w:r>
    </w:p>
    <w:p>
      <w:r>
        <w:t>IT: VD_GERICHTE PE19.014427 del 8 novembre 2019</w:t>
      </w:r>
    </w:p>
    <w:p>
      <w:pPr>
        <w:pStyle w:val="Heading2"/>
      </w:pPr>
      <w:r>
        <w:t>Erwägungen</w:t>
      </w:r>
    </w:p>
    <w:p>
      <w:r>
        <w:rPr>
          <w:b/>
        </w:rPr>
        <w:t>E. 16</w:t>
      </w:r>
    </w:p>
    <w:p>
      <w:r>
        <w:t>octobre 2019 en lien avec une instruction des affaires PE [...] et PE [...], dont on semble comprendre qu'il s'agit d'une récusation demandée à l'encontre du Juge cantonal [...]. La procureure P.________ avait été invitée</w:t>
      </w:r>
    </w:p>
    <w:p>
      <w:r>
        <w:t>- 10 - à se déterminer sur cette demande de récusation et avait conclu au rejet en expliquant pour quels motifs. C'est à tort que la requérante, par son avocat, y voit une marque supplémentaire de prévention à son égard. En effet, dans la mesure où elle était interpellée, la procureure avait légitimement le droit de se déterminer, en indiquant ce qu'il pensait de la demande de récusation et les motifs pour lesquels elle devait être rejetée, puisque c'était précisément l'objet du litige. Pour le reste, on relève que la Cour d'appel pénale a rejeté la demande de récusation de S.________ à l'encontre du Juge cantonal [...] (CAPE 21 octobre 2019/426). 2.8 Compte tenu de ce qui précède, on ne discerne aucun manquement ou erreur, ni aucune prévention de la Procureure P.________ à l'égard de la requérante S.________. La demande de récusation doit dès lors être rejetée. II. Recours contre l’ordonnance de non-entrée en matière 1. 1.1 S.________ conteste l'ordonnance de non-entrée en matière rendue le 25 juillet 2019 ensuite de sa plainte déposée contre l'avocat [...]. 1.2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 art. 80 LOJV [Loi d’organisation judiciaire du 12 décembre 1979 ; BLV 173.01]). 1.3 Interjeté dans le délai légal et dans les formes prescrites (art. 385 al. 1 CPP) auprès de l’autorité compétente, par la partie plaignante qui a qualité pour recourir (art. 382 al. 1 CPP ; ATF 140 IV 155 consid. 3.3.1), le recours de S.________ est recevable. 2. Conformément à l'art. 310 al. 1 let. a CPP, le ministère public rend immédiatement – c'est-à-dire sans qu'une instruction soit ouverte</w:t>
      </w:r>
    </w:p>
    <w:p>
      <w:r>
        <w:t>- 11 - (art. 309 al. 1 et 4 CPP ; TF 1B_111/2012 du 5 avril 2012 consid. 2.1 ; Cornu, in : Kuhn/Jeanneret [éd.], Commentaire romand, Code de procédure pénale suisse, Bâle 2011, n. 2 ad art. 310 CPP) – une ordonnance de non- 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En l'espèce, l'accusation de la plaignante a trait à des propos tenus par l'avocat [...], au nom de ses clients A.M.________, A.N.________ et J.________ dans un mémoire de réponse déposé devant la Chambre des recours civile, clients avec qui elle est en conflit. Les termes utilisés étaient : "... la recourante a envoyé des messages d'intimidation, voire de menaces, par email ou sur messagerie vocale, sur un ton dénigrant et</w:t>
      </w:r>
    </w:p>
    <w:p>
      <w:r>
        <w:t>- 12 - ironique. Parfois des agressions verbales ont eu lieu face aux enfants des familles...". 3.2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Pour qu'il y ait diffamation, il faut que l'auteur s'adresse à un tiers. Est en principe considérée comme tiers toute personne autre que l'auteur et l'objet des propos qui portent atteinte à l'honneur (ATF 86 IV 209). Dans des débats en justice, le climat peut être très tendu, ce d’autant plus que le succès d’une partie implique la défaite de son</w:t>
      </w:r>
    </w:p>
    <w:p>
      <w:r>
        <w:t>- 13 -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2007, n. 1.14 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alii., Petit Commentaire du Code pénal, 2e éd. 2017, n. 52 ad art. 173 CP; Favre/Pellet/Stoudmann, op. cit., n. 1.11 ad art. 14 CP; de Werra, L’avocat et la diffamation [Der Anwalt und die üble Nachrede, traduit de l’allemand], in : L’avocat suisse, n° 70, décembre 1980, p. 14). Tant la partie que son avocat peuvent se prévaloir de l’art. 14 CP à condition de s’être exprimés de bonne foi, de s’être limités à ce qui est nécessaire et pertinent et d’avoir présenté comme telles de simples suppositions (ATF 131 IV 154 consid. 1.2.3). Dans un tel contexte, une atteinte à l’honneur ne doit être admise que restrictivement, surtout si les propos litigieux ne s’adressent qu’aux membres d’une autorité judiciaire, qui sont à même de faire la part des choses (Favre/Pellet/Stoudmann, op. cit., n. 1.14 ad art. 173 CP). Les propos incriminés dans le cadre de l’art. 173 CP doivent avoir été adressés à un tiers, lequel peut être un avocat, un magistrat ou un fonctionnaire (TF 6B_974/2018 du 20 décembre 2018 consid. 2.3.1 ; Dupuis et al., op. cit., n.</w:t>
      </w:r>
    </w:p>
    <w:p>
      <w:r>
        <w:rPr>
          <w:b/>
        </w:rPr>
        <w:t>E. 18</w:t>
      </w:r>
    </w:p>
    <w:p>
      <w:r>
        <w:t>ad art. 173 CP). La diffamation est une infraction intentionnelle (Corboz, Les infractions en droit suisse, 3e éd., vol. I, Berne 2010, n. 48 ad art. 173 CP). 3.3 En l'espèce, le contexte du litige a trait à une procédure civile opposant des propriétaires en PPE. Il s'agissait dans le cas précis de déterminer si une suspension de l'une des procédures civiles se justifiait. Les griefs exposés par le conseil dans son mémoire de réponse du 23 avril 2019 à la Chambre des recours civile figurent sous la partie "faits". Cette</w:t>
      </w:r>
    </w:p>
    <w:p>
      <w:r>
        <w:t>- 14 - partie "faits" relate le contexte extrêmement problématique des relations entre la plaignante et les autres copropriétaires, notamment les nombreuses procédures initiées, le refus de la plaignante de s'exécuter et la nécessité pour les copropriétaires de faire exécuter les travaux par un tiers au vu des blocages. Dans ce contexte, l'avocat faisait également mention des interdictions et autres ordres donnés à la plaignante pour faire face à ses comportements qui semblaient sortir du cadre d'une procédure raisonnable. Le paragraphe faisant l'objet de la plainte pénale objet de la présente procédure relate plus précisément les faits en lien avec les travaux et surtout la nécessité pour les intimés au recours d'avoir dû déposer une plainte pénale contre la recourante pour infractions au patrimoine, à l'honneur, à la liberté, à l'autorité publique et à l'administration de la justice. Pour justifier le dépôt de cette plainte, les courts propos relatés dans le mémoire résumaient de manière très succincte les raisons de la plainte. Force est de retenir que ce paragraphe, pris dans son entier, est une relation de la situation et de ses ramifications pénales, ce qui paraît légitime pour faire connaître au juge saisi le contexte de la situation. Ne pas le faire serait une faute professionnelle, contrairement à ce que soutient la plaignante, l'intérêt de l'information étant évident pour comprendre l'attitude de la plaignante, soupçonnée d'aller au-delà des limites raisonnables en adoptant une attitude répréhensible. Cet élément est pertinent pour le juge. Ensuite, si les propos devaient être blessants, il appartient effectivement au procureur de trancher cette question; il est indéniable que, sortis de tout contexte, ces propos pourraient être diffamatoires. En l'état, les propos repris dans la réponse au recours sont quasiment ceux de la plainte pénale déposée par les intimés au recours contre la recourante le 18 juin 2018, mais aussi pour partie de l'ordonnance du 4 juin 2018. Sur ce point, on constate cependant que le prévenu a clairement conclu ce passage par "... Le ministère public de l'arrondissement est en charge de l'instruction. A ce jour, la cause n'est pas encore jugée". Cette adjonction, pour tous professionnels du droit, est</w:t>
      </w:r>
    </w:p>
    <w:p>
      <w:r>
        <w:t>- 15 - suffisante pour comprendre clairement que les propos de la plainte en sont au stade de l'instruction et que les faits n'ont pas encore été confirmés ou infirmés par les instances judiciaires, le conditionnel étant de mise. Que toutes ces affirmations n'aient été retenues que dans des décisions provisionnelles ou d'instruction ne changent rien à l'appréciation de la cause, puisque il est notoire que ces décisions ne préjugent pas du fond. En l'absence de décisions au fond, on ne saurait empêcher un avocat de se référer à ce qu'il a déjà obtenu ou exécuté comme actes de procédure. Ainsi, si l'on peut toujours retenir que des propos judiciaires pourraient être tenus avec force de conditionnels et de circonvolutions prudentes, il n'en reste pas moins que les débats judiciaires imposaient de faire une description de la situation, description qui, prise dans son ensemble, était suffisamment descriptive et conditionnelle pour que l'autorité judiciaire puisse en faire la part des choses. C'est dès lors à raison que la procureure a retenu que les éléments constitutifs de la diffamation au sens de l'art. 173 CP n'étaient pas réalisés et qu'elle a rendu l'ordonnance entreprise. 4. En définitive, le recours, manifestement mal fondé, doit être rejeté sans échange d’écritures (art. 390 al. 2 CPP) et l’ordonnance attaquée confirmée. Les frais de la procédure de recours et de récusation, constitués en l’espèce du seul émolument d'arrêt (art. 422 al. 1 CPP), par 1’430 fr. (art. 20 al. 1 TFIP [Tarif des frais de procédure et indemnités en matière pénale du 28 septembre 2010 ; BLV 312.03.1]), seront mis à la charge de la requérante et recourante, qui succombe (art. 59 al. 4 et 428 al. 1 CPP).</w:t>
      </w:r>
    </w:p>
    <w:p>
      <w:r>
        <w:t>- 16 - Par ces motifs, la Chambre des recours pénale prononce : I. La demande de récusation de la Procureure P.________ est rejetée. II. Le recours est rejeté. III. L'ordonnance du 25 juillet 2019 est confirmée. IV. Les frais de la procédure, par 1'430 fr. (mille quatre cent trente francs), sont mis à la charge de S.________. V. L’arrêt est exécutoire. Le président : La greffière : Du Le présent arrêt, dont la rédaction a été approuvée à huis clos, est notifié, par l'envoi d'une copie complète, à : - Me Frank Tièche, avocat (pour S.________), - Me [...], - Ministère public central, et communiqué à : - Mme la Procureure de l'arrondissement de Lausanne, par l’envoi de photocopies.</w:t>
      </w:r>
    </w:p>
    <w:p>
      <w:r>
        <w:t>- 17 -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