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PE19.014420 vom 31. März 2021</w:t>
      </w:r>
    </w:p>
    <w:p>
      <w:r>
        <w:t>VD Tribunal cantonal, 2021-03-31, FR</w:t>
      </w:r>
    </w:p>
    <w:p>
      <w:r>
        <w:rPr>
          <w:b/>
        </w:rPr>
        <w:t xml:space="preserve">Quelle: </w:t>
      </w:r>
      <w:r>
        <w:t>https://mcp.opencaselaw.ch/entscheid/vd_gerichte_PE19.014420</w:t>
      </w:r>
    </w:p>
    <w:p>
      <w:r>
        <w:t>FR: VD_GERICHTE PE19.014420 du 31 mars 2021</w:t>
      </w:r>
    </w:p>
    <w:p>
      <w:r>
        <w:t>IT: VD_GERICHTE PE19.014420 del 31 marzo 2021</w:t>
      </w:r>
    </w:p>
    <w:p>
      <w:pPr>
        <w:pStyle w:val="Heading2"/>
      </w:pPr>
      <w:r>
        <w:t>Erwägungen</w:t>
      </w:r>
    </w:p>
    <w:p>
      <w:r>
        <w:rPr>
          <w:b/>
        </w:rPr>
        <w:t>E. 5</w:t>
      </w:r>
    </w:p>
    <w:p>
      <w:r>
        <w:t>juillet 2019 consid. 2.1 et 2.3). 3. En ce qui concerne la peine, laquelle doit être vérifiée d’office, la Cour de céans avait, dans son jugement du 27 août 2021, considéré, par adoption de motifs (art. 82 al. 4 CPP), que la peine pécuniaire prononcée par le premier juge, soit 90 jour-amende à 50 fr. le jour, avec sursis pendant 2 ans, était adéquate et pouvait être confirmée. Toutefois, il convient de diminuer cette peine pour tenir compte d’une culpabilité légère s’agissant de l’infraction à LArm. En effet, selon ses dires, l’appelant était mineur lorsqu’il aurait acquis, en toute légalité, le poing américain en [...]. Aucun élément ne permet d’infirmer ses déclarations. Dans ces conditions, l’infraction à la LArm doit être sanctionnée de 15 jours-amende, en lieu et place des 30 jours-amende retenus par le premier juge. C’est donc, au total, une peine pécuniaire de 75 jours-amende qui sera prononcée, étant rappelé que les lésions corporelles simples commises sur P.________ avaient été sanctionnées d’une peine pécuniaire de 60 jours-amende. Au vu de la situation financière et personnelle de l’appelant, le montant du jour-amende fixé à 50 fr. est adéquat et doit être confirmé. Il en va de même de l’amende de 1'100 fr. infligée à titre de sanction immédiate et pour sanctionner le vol d’importance mineure. 4. Au vu de ce qui précède, l’appel de B.________ doit être partiellement admis et le jugement entrepris réformé en ce sens qu’il est condamné à une peine pécuniaire de 75 jours-amende à 50 fr. le jour. S’agissant de l’appel formé par P.________, il peut être renvoyé aux considérants du jugement du 27 août 2021. S’agissant des frais antérieurs à l’arrêt du Tribunal fédéral du 26 octobre 2022, la Cour de céans a, dans son jugement du 27 août 2021, considéré que B.________ avait succombé s’agissant du sort de son appel, représentant la moitié de la procédure (4/8), et aux trois quarts sur l’autre</w:t>
      </w:r>
    </w:p>
    <w:p>
      <w:r>
        <w:t>- 14 - moitié de la procédure (3/8), consacrée à l’appel de P.________. Partant, les frais de la procédure d’appel selon l’art. 424 CPP devaient être mis à sa charge à raison de sept huitièmes (4/8 + 3/8). L’appelant obtenant partiellement gain de cause sur la question de la quotité de la peine, il convient de diminuer la part des frais mis à sa charge d’un huitième, de sorte que les frais antérieurs à l’arrêt du Tribunal fédéral du 26 octobre 2022, par 2'050 fr., seront mis par trois quarts (= 6/8), soit par 1'537 fr. 50, à la charge de B.________, le solde étant laissé à la charge de l’Etat. Dans la mesure où la part des frais antérieurs à l’arrêt du Tribunal fédéral mis à la charge de l’appelant est diminuée d’un huitième, il y a lieu, par parallélisme de lui allouer une indemnité réduite à cette même fraction pour les dépenses occasionnées par l’exercice raisonnable de ses droits de défense (art. 429 CPP). A cet égard, Me Charles Navarro, défenseur de choix, avait produit, en date du 26 août 2021, une liste d’opérations mentionnant 8h55 d’activité d’avocat au tarif horaire de 300 fr. et 2 heures de vacation au tarif horaire de 150 francs (cf. P. 44). Cette durée est adéquate, si ce n’est qu’elle sera augmentée de 40 minutes pour tenir compte du temps consacré à l’audience. Les honoraires se montent ainsi à 3’175 fr., auxquels s’ajoutent des débours forfaitaires de 2 % (art. 26b TFIP qui renvoie à l'art. 3bis RAJ [règlement sur l’assistance judiciaire en matière civile du</w:t>
      </w:r>
    </w:p>
    <w:p>
      <w:r>
        <w:rPr>
          <w:b/>
        </w:rPr>
        <w:t>E. 7</w:t>
      </w:r>
    </w:p>
    <w:p>
      <w:r>
        <w:t>décembre 2010 ; BLV 211.02.3]), par 57 fr. 50, et la TVA sur le tout, au taux de 7,7%, par 248 fr. 90, soit 3'481 fr. 40. En conséquent, B.________ aura droit, au titre de l’art. 429 CPP, pour la procédure d’appel antérieure à l’arrêt du Tribunal fédéral, à un huitième de ce montant, soit à 435 fr. 30. Pour l’autre fraction d’un huitième, concernant l’appel de la partie plaignante, l’appelant devait solliciter une indemnité vis-à-vis de celle-ci (art. 432 CPP), ce qu’il n’a pas fait. Le présent jugement ayant été rendu à la suite de l’arrêt de renvoi du Tribunal fédéral, les frais d'appel postérieurs à celui-ci, constitués de l'émolument de jugement et d’audience, par 1’500 fr. (art. 21 al. 1 et 2 TFIP [tarif des frais de procédure et indemnités en matière</w:t>
      </w:r>
    </w:p>
    <w:p>
      <w:r>
        <w:t>- 15 - pénale du 28 septembre 2010 ; BLV 312.03.1]), seront laissés à la charge de l'Etat (art. 428 al. 4 CPP). Dans sa liste d’opérations produite à l’audience, Me Charles Navarro a indiqué, pour la période postérieure à l’arrêt du Tribunal fédéral, avoir consacré 4h53 d’activité d’avocat au tarif horaire de 300 fr. et 2 heures de vacation au tarif horaire de 150 fr., ce qui est adéquat. Il sera ajouté 30 minutes pour tenir compte de la durée de l’audience. Ainsi, les honoraires se montent à 1'915 fr., auxquels s’ajoutent des débours forfaitaires de 2 %, par 32 fr. 30, et la TVA sur le tout, au taux de 7,7%, par 149 fr. 95, soit 2'097 fr. 25. Ce montant sera alloué B.________ pour ses frais de défense en procédure d’appel postérieurs à l’arrêt du Tribunal fédéral. En définitive, l’indemnité allouée à l’appelant au titre de l’art. 429 CPP s’élève à 2’532 fr. 45 (435 fr. 30 + 2'097 fr. 25). Elle sera compensée à due concurrence avec les frais de première et deuxième instance mis à sa charge, le solde en faveur de l’Etat s’élevant à 1'630 fr. 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