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PE19.014397 vom 8. Juli 2022</w:t>
      </w:r>
    </w:p>
    <w:p>
      <w:r>
        <w:t>VD Tribunal cantonal, 2022-07-08, FR</w:t>
      </w:r>
    </w:p>
    <w:p>
      <w:r>
        <w:rPr>
          <w:b/>
        </w:rPr>
        <w:t xml:space="preserve">Quelle: </w:t>
      </w:r>
      <w:r>
        <w:t>https://mcp.opencaselaw.ch/entscheid/vd_gerichte_PE19.014397</w:t>
      </w:r>
    </w:p>
    <w:p>
      <w:r>
        <w:t>FR: VD_GERICHTE PE19.014397 du 8 juillet 2022</w:t>
      </w:r>
    </w:p>
    <w:p>
      <w:r>
        <w:t>IT: VD_GERICHTE PE19.014397 del 8 luglio 2022</w:t>
      </w:r>
    </w:p>
    <w:p>
      <w:pPr>
        <w:pStyle w:val="Heading2"/>
      </w:pPr>
      <w:r>
        <w:t>Erwägungen</w:t>
      </w:r>
    </w:p>
    <w:p>
      <w:r>
        <w:rPr>
          <w:b/>
        </w:rPr>
        <w:t>E. 4</w:t>
      </w:r>
    </w:p>
    <w:p>
      <w:r>
        <w:t>; jugt. p. 8). Or, la proximité entre cet appartement que le prévenu était en train de rénover avec son ex-ami – et qui n’était peut-être pas leur lieu de vie dans la capitale – et la localisation de l’adresse IP litigieuse ne saurait être une pure coïncidence. Les publications Facebook de O.________ laissent certes penser qu’il se trouvait par moments en d’autres endroits du pays, notamment dans la province de Battambang, les 15 et 26 juin (P. 64/2). Cela étant, rien ne prouve que ces publications ont été faites le jour même et, le fait que le prévenu se soit trouvé à 300 km de la capitale – apparemment pour des visites touristiques – ne signifie pas non plus qu'il n’a pas pu effectuer le trajet dans la journée, ni qu'il n'a pas pu poster les publications depuis son lieu de résidence à Phnom Penh. Cette affirmation trouve sa confirmation dans la publication du 29 juin 2019, où il est écrit le commentaire suivant : « […] ». D’une part, cela tend à démontrer que le prévenu se trouvait donc dans la capitale les jours qui précèdent – étant rappelé que l’essentiel de l’activité litigieuse s’étend entre le 11 et le 26 juin 2019 –, attelé à son projet de rénovation (« après l’effort le réconfort »). D’autre part, plus aucune commande ni autre activité n’a été effectuée au nom de la plaignante à partir du 4 juillet 2019, alors que le prévenu annonce lui-même sur son profil Facebook qu’il se rend dans un endroit dépourvu de connexion Internet. L’appelant soutient que plusieurs adresses IP ont été localisées en Europe et aux Etats-Unis ; ces adresses semblent avoir été générées par un VPN (réseau privé virtuel) (cf. P. 8 p. 7). Entendu le 29 mai 2021, O.________ a d'abord dit qu'il ne détenait pas de VPN, puis a admis qu'il venait d'en installer un (PV aud. 5, p. 8). Ce fait vient contredire la thèse selon laquelle il serait complètement novice en informatique, et démontre</w:t>
      </w:r>
    </w:p>
    <w:p>
      <w:r>
        <w:t>- 22 - à tout le moins qu’il est capable d’installer un logiciel et de l’utiliser. Du reste, dans le témoignage écrit qu’il a lui-même produit à l’audience d’appel, l’informaticien [...] déclare que l’utilisation d’un VPN personnel est aisée et accessible à tout utilisateur, sans compétence particulière (P. 89/1). La police a de surcroît relevé que le prévenu avait visiblement de bonnes connaissances en informatique, vu les logiciels installés dans son ordinateur, ce qui laissait penser qu'il avait pu facilement effacer toutes traces de ses agissements et/ou rester discret (cf. P. 21, p. 5). Dans ce même rapport de police, on lit qu’il est probable que l’auteur ait pu utiliser un café-internet pour passer des commandes, les adresses IP mentionnées dans le rapport final donnant une adresse d’un café-Internet au Cambodge (ibidem). Or, O.________ a reconnu qu’il lui arrivait de fréquenter des Internet-cafés (PV aud. 7, l. 92). On peut encore, et par surabondance, rétorquer à l’appelant que l’usage d’un VPN au Cambodge fait particulièrement sens, cette pratique étant courante dans tous les pays où il existe une censure de certains sites Internet occidentaux. C’est en vain que l’appelant soutient qu’il n’avait pas de raison d’en vouloir à Q.________. Si c’est certes ce qu’il a déclaré tout au long de l’instruction, raison ou pas, il résulte quoi qu’il en soit du dossier qu’il lui en voulait effectivement. Ainsi, a-t-il prétendu lors de son audition du 29 mai 2021 qu’elle l’avait licencié, avant de se raviser et d’admettre qu’il avait démissionné (PV aud. 5, l. 44 ss) ; il a également déclaré que personne ne l’aimait, à tout le moins une grande majorité (PV aud. 5, l. 105 ss). Il a également déclaré qu’elle lui avait dit des choses blessantes et mensongères lors d’un entretien (PV aud. 7 l. 230 s.). Il a en outre fait preuve d’animosité à l’encontre de cette dernière dans le cadre de ses déclarations au cours de son audition aux débats de première instance. Le témoin [...] a également expliqué avoir reçu un courriel du prévenu, qui le félicitait pour sa nomination et attirait son attention sur des problèmes de comportement et sur les agissements de la plaignante, le message n'étant toutefois pas virulent. Ce témoin a en outre relaté que le Conseiller d’Etat [...] lui avait montré un message que le canton avait reçu ; il s'agissait d'un message d'alerte adressé par le prévenu, qui disait en substance qu'il ne fallait pas que l'intimée soit nommée directrice de l'U.________ (cf. P. 6).</w:t>
      </w:r>
    </w:p>
    <w:p>
      <w:r>
        <w:t>- 23 - Plus encore, à son thérapeute, le Dr [...], O.________ a déclaré qu’il réfléchissait à nuire à ceux qui l’avaient persécuté (P. 29/6) et dans les notes prises par ce praticien le 6 mai 2020, on lit « En veut beaucoup à une ancienne DRH, qui lui aurait exprimé des remarques blessantes infondées » (P. 29/18). Cela étant, il y a également lieu de relever que l’intéressé présente un profil parfaitement compatible avec les faits décrits dans l’acte d’accusation. En effet, il a adopté un mode opératoire proche de celui qui lui est reproché au préjudice de la plaignante lors d’un conflit avec ce praticien. Ainsi, alors que O.________ avait dénoncé le Dr [...] à la Direction générale de la santé – dénonciation qui n’a pas abouti – dans ses déterminations du 15 décembre 2020, le Dr [...] écrivait que ses conclusions médicales n’avaient pas convenu à O.________, et qu’il avait alors adopté une attitude revancharde et malfaisante en tentant de lui porter préjudice, au moyen de propos se voulant blessants, mais encore notamment par la création d’une page LinkedIn publique dans laquelle il était décrit en des termes peu élogieux (ndr : pour ne pas dire diffamatoires – cf. P. 29/8/3, pp. 3, 4 et 8 et annexe 2). Au vu de ces éléments, il y a lieu d’admettre que O.________ était bien l’auteur des commandes faites au nom de Q.________, respectivement l’utilisateur de l’adresse e-mail Q.________@hotmail.com. En conséquence, il est évident que ce dernier était également l’utilisateur de l’adresse e-mail Q.________@yahoo.com – à propos de laquelle il n’a pas été possible d’obtenir des informations faute de coopération du fournisseur – dès lors que les deux adresses ont été utilisées simultanément pour une commande le 13 juin 2019 (cf. P. 8/2). Ainsi et par voie de conséquence, il ne fait aucun doute qu’il est également l’auteur des autres actes reprochés dans l’acte d’accusation, savoir la création de faux profils sur des sites de rencontre en ligne, le courrier adressé à son bailleur et la lettre anonyme adressée à [...]. Quant au hamburger « crève la dalle », la commande a été passée à 11h55 et, s’agissant d’un hamburger commandé dans un</w:t>
      </w:r>
    </w:p>
    <w:p>
      <w:r>
        <w:t>- 24 - restaurant situé dans la même rue que l’U.________, la livraison a pu intervenir avant le terme de l’audition-plainte de la plaignante à 12h30. Or, l’appelant perd de vue que sur le ticket de la commande (P. 8/3), figurent les coordonnées de Q.________, à son lieu de travail, ainsi qu’un numéro de téléphone qui correspond manifestement à sa ligne directe de bureau, qu’elle a probablement faite dévier comme cela se fait usuellement dans l’administration. Elle a en outre pu être prévenue par des collègues. Il s’ensuit que, contrairement à ce que soutient l’appelant, il n’est pas inexplicable que la plaignante ait pu faire état de cette livraison qui a eu lieu alors même qu’elle était entendue par la police. Cet élément n’est quoi qu’il en soit pas susceptible de le disculper au vu des éléments rappelés ci-dessus. C’est ainsi sans violer la présomption d’innocence que le Tribunal de police a retenu que O.________ est l’auteur des faits décrits dans l’acte d’accusation.</w:t>
      </w:r>
    </w:p>
    <w:p>
      <w:r>
        <w:rPr>
          <w:b/>
        </w:rPr>
        <w:t>E. 4.1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w:t>
      </w:r>
    </w:p>
    <w:p>
      <w:r>
        <w:t>- 19 -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4.2</w:t>
      </w:r>
    </w:p>
    <w:p>
      <w:r>
        <w:t>En l’espèce, la Cour de céans ne peut que partager l’analyse complète, détaillée et convaincante qui figure en pages 24 à 27 du jugement.</w:t>
      </w:r>
    </w:p>
    <w:p>
      <w:r>
        <w:t>- 20 - En ce qui concerne les commandes faites au nom de Q.________ par le biais de l’adresse Q.________@hotmail.com, l'analyse des adresses IP et de leur localisation démontre que toutes les activités ont été effectuées depuis le Cambodge, dans la capitale Phnom Penh, à la rue […] (cf. P. 8, p. 6). Or, en premier lieu, il est constant que O.________ se trouvait au Cambodge durant toute la période au cours de laquelle cette adresse a été utilisée, et du reste durant toute la période concernée par les actes décrits dans l’acte d’accusation, comme le démontrent les publications Facebook du prévenu (P. 64/2) ainsi que les extraits au dossier de son passeport (P. 28/4). Il ressort par ailleurs du rapport de police qu’il a quitté le pays le 9 février 2020, à la suite de l'expiration de son visa (P. 8, p. 8), de sorte qu’il ne peut pas prétendre qu’il se trouvait dans un autre pays. En second lieu, O.________ avait certes fourni une adresse officielle à Phumi Kamkor, commune de Svay Popre, district de Battambang, soit à 300 km au nord de Phnom Pen. Il n’en demeure pas moins qu’il avait des attaches étroites et des projets dans la capitale. En effet, il ressort des notes du Dr [...] produites au dossier (cf. P. 29/18, p. 2), en date du 21 avril 2020, que le prévenu lui avait confié avoir acheté, deux ans auparavant, un logement avec son ex-copain pour l’aménager en structure d’aide bénévole aux homosexuels rejetés. Or, le 31 juillet 2019, l’intéressé a publié sur son profil Facebook une annonce concernant la vente d’un logement en cours de rénovation (P. 8/12), situé à […], Phnom Pen, soit à 7 km seulement de la localisation de l’adresse IP précitée, liée à l’utilisation de l’adresse e-mail Q.________@hotmail.com. On ne peut que déduire qu’il s’agit du logement dont l’intéressé avait parlé au Dr [...], dès lors qu’on lit dans l’annonce « […] ». C’est au demeurant également l’adresse que le prévenu a donnée au Dr [...] le 7 avril 2020, alors qu’il se trouvait bloqué en Thaïlande en raison du Covid, pour la facturation de ses consultations (P. 29/6). Il apparaît ainsi évident que le prévenu a très largement minimisé ses liens avec cet appartement et qu’il n’est aucunement crédible lorsqu’il déclare en cours d’enquête et encore</w:t>
      </w:r>
    </w:p>
    <w:p>
      <w:r>
        <w:t>- 21 - devant la Cour d’appel qu’il s’agissait d’un endroit insalubre et inhabitable, qu’il avait mis une annonce car son ami et propriétaire voulait le vendre et qu’il avait « un peu aidé » son ami à le nettoyer (cf. supra p.</w:t>
      </w:r>
    </w:p>
    <w:p>
      <w:r>
        <w:rPr>
          <w:b/>
        </w:rPr>
        <w:t>E. 5</w:t>
      </w:r>
    </w:p>
    <w:p>
      <w:r>
        <w:t>L’appelant conteste la qualification juridique de lésions corporelles simples retenue par le premier juge, estimant que l’atteinte subie par Q.________ n’était quoi qu’il en soit pas suffisamment caractérisée, ni durable.</w:t>
      </w:r>
    </w:p>
    <w:p>
      <w:r>
        <w:rPr>
          <w:b/>
        </w:rPr>
        <w:t>E. 5.1</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2 CP précise que la peine sera une peine privative de liberté de trois ans au plus ou une peine pécuniaire et que la poursuite aura lieu d’office, si le délinquant s’en est pris à une personne hors d’état de se défendre ou à une personne, notamment à un enfant, dont il avait la garde ou sur laquelle il avait le devoir de veiller. Il s’agit alors de lésions corporelles simples qualifiées (cf. TF 6B_953/2017 du 28 mars 2018 consid. 3.5 [notamment des fractures causées à un enfant par le compagnon de sa mère]).</w:t>
      </w:r>
    </w:p>
    <w:p>
      <w:r>
        <w:t>- 25 -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déjà cité, consid. 1.1 ; TF 6B_1204/2017 du 17 mai 2018 consid. 3.1).</w:t>
      </w:r>
    </w:p>
    <w:p>
      <w:r>
        <w:t>- 26 -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w:t>
      </w:r>
    </w:p>
    <w:p>
      <w:r>
        <w:rPr>
          <w:b/>
        </w:rPr>
        <w:t>E. 5.2</w:t>
      </w:r>
    </w:p>
    <w:p>
      <w:r>
        <w:t>En l’espèce, la plaignante a tout d'abord produit un rapport médical émanant du psychologue [...]. Ce dernier a attesté qu'elle présentait les symptômes d'une personne victime de violences psychologiques particulièrement graves avec des peurs, des angoisses envahissantes, un trouble du sommeil et une insécurité très forte, précisant que l'équilibre personnel et psychique de l'intéressée avait été fortement ébranlé, la simple évocation des événements étant si douloureuse qu'elle appréhendait le fait d'aborder ces questions dans le cadre d'une thérapie dont elle aurait probablement besoin ultérieurement. Figure ensuite au dossier un rapport médical émanant de la psychologue et psychothérapeute [...] du 16 juin 2022. Il résulte de ce rapport que, sans antécédent psychiatrique ou pathologie concomitante Q.________ avait développé un état de stress post-traumatique suite à des actes de harcèlement et d'usurpation identitaire. Un suivi psychologique axé sur les traumatismes avait démarré le 27 janvier 2020 et s’était poursuivi jusqu’au 17 septembre 2021, avec la stabilisation de la santé psychique de l’intéressée et la diminution significative des réactions physiologiques au stress. Une reprise de suivi avait cependant dû être mise en place d'urgence le 14 juin 2022, suite à la réactivation de symptômes du registre psycho-traumatique, dans le contexte d'une potentielle confrontation (par la justice) à l'agresseur présumé. Q.________ avait développé un état de stress post-traumatique (F43.1), avec hypervigilance, cauchemars et flashbacks, ainsi que des symptômes anxieux et dépressifs ; après une phase de stabilisation, une recrudescence de symptômes du registre psycho-traumatique avait été déclenchée par la perspective d'une obligation à comparaitre. Les actes de harcèlement et d'usurpation d'identité subis l'avaient contrainte à cesser</w:t>
      </w:r>
    </w:p>
    <w:p>
      <w:r>
        <w:t>- 27 - son activité professionnelle au moment des faits. Après une première phase de grande agitation anxieuse, Q.________ avait pu reprendre pieds et retrouver, petit à petit, des repères dans l'organisation de sa vie, jusqu'à la reprise à 100% d'une activité professionnelle. Sur le plan théorique, un état de stress post-traumatique apparaissait dans le contexte de la confrontation à des événements stressants exceptionnellement menaçants et qui provoquent des symptômes évidents de détresse chez la plupart des individus. Le risque encouru par les victimes contraintes à faire face à des reviviscences traumatiques et de nouvelles situations de stress intense, après un premier épisode, était la modification durable de la personnalité au décours de l'état de stress post-traumatique, avec développement d'une dépression récurrente. Plusieurs personnes ont témoigné lors des débats de première instance, lesquelles ont pu constater les peurs et la détresse de la plaignante. La plaignante a enfin produit un certificat médical établi le 20 janvier 2023 par la psychologue et psychothérapeute [...], duquel il ressort qu’elle a reçue en consultation Q.________ à trois reprises entre le 14 juillet et le 2 septembre 2022, à la suite du développement de l’état de stress post-traumatique apparu après les actes de harcèlement et d’usurpation d’identité dont elle a été la victime. Son état de santé psychique s’était globalement stabilisé mais elle restait fragile, avec une grande fatigue, des insomnies et des cauchemars au premier plan. La recrudescence de symptômes du registre psycho-traumatique restait déclenchée par des événements rappelant le traumatisme (lieux, discussions sur le sujet avec un tiers, courrier de la justice et de l’avocate, etc.). Pour favoriser la stabilité de sa santé psychologique encore fragile, il restait de ce fait impératif de limiter au maximum l’exposition aux situations à risque de réactivation traumatique en lien avec les préjudices subis. Au vu des éléments précités, force est de constater que Q.________ a été profondément atteinte dans son intégrité psychique par les agissements de O.________. Il ne fait aucun doute que les commandes</w:t>
      </w:r>
    </w:p>
    <w:p>
      <w:r>
        <w:t>- 28 - adressées à son domicile et sur son lieu de travail presque quotidiennement durant plus de 15 jours l’ont profondément touchée, tout comme le fait de l’inscrire sur des sites de rencontre ayant eu pour conséquence des sollicitations non désirées, ou encore le discrédit porté sur elle auprès de son employeur, et de son bailleur. Ces événements l’ont atteinte au point qu’un état de stress post-traumatique a été médicalement constaté, ce qui ne saurait être qualifié d’atteinte bénigne. Cette atteinte a ainsi eu des conséquences évidentes et durables sur le psychisme de l’intéressée, ainsi que sur sa vie (cauchemars, anxiété, peur de recevoir des colis, arrêt de travail, etc.), durant des mois. L’appelant fait – maladroitement – grand cas du fait que la plaignante a, à ce jour, retrouvé une vie normale et exerce des activités sociales. Il perd cependant de vue que, comme cela ressort des rapports médicaux des 16 juin 2022 et 20 janvier 2023, la santé psychique de Q.________ demeure fragile et que la confrontation à certaines situations est susceptible de faire réapparaître les symptômes psycho-traumatique liés au traumatisme, ce qui s’est du reste produit en juin 2022, à l’approche de l’audience de jugement. En d’autres termes, le fait que la plaignante soit capable de vivre sa vie normalement à ce jour n’enlève rien à la gravité de l’atteinte psychologique qu’elle a subie, et qui est encore présente de manière sous- jacente, et qui doit dont être qualifiée de lésion corporelle au sens de l’art. 123 ch. 1 CP.</w:t>
      </w:r>
    </w:p>
    <w:p>
      <w:r>
        <w:rPr>
          <w:b/>
        </w:rPr>
        <w:t>E. 5.3</w:t>
      </w:r>
    </w:p>
    <w:p>
      <w:r>
        <w:t>La condamnation de O.________ pour lésions corporelles simples doit donc être confirmée. L’appelant, qui conteste l’allocation d’une indemnité pour tort moral à Q.________ dans son principe, n’a en revanche pas contesté la quotité du montant de 5'000 fr. qui a été alloué à cette dernière. Le montant de cette indemnité correspond aux souffrances effectivement endurées par l’intéressée telles qu’elles viennent d’être rappelées et résultent des documents médicaux produits, et a été fixé conformément aux art. 47, 49 CO et aux principes jurisprudentiels applicables. Il est adéquat et doit donc être confirmé, de même que le montant de 1'976 fr.</w:t>
      </w:r>
    </w:p>
    <w:p>
      <w:r>
        <w:t>- 29 - 20, documenté par pièces, alloué à titre de dommages et intérêts correspondant aux frais de thérapie de l’intimée.</w:t>
      </w:r>
    </w:p>
    <w:p>
      <w:r>
        <w:rPr>
          <w:b/>
        </w:rPr>
        <w:t>E. 5.4</w:t>
      </w:r>
    </w:p>
    <w:p>
      <w:r>
        <w:t>Pour le surplus, l’appelant n’a pas contesté la qualification juridique des autres infractions retenues contre lui de sorte qu’il peut, à cet égard, être renvoyé à ce qui figure en pages 28 à 30 du jugement entrepris (art. 82 al. 4 CPP). En substance, il est évident qu’en adressant à son travail des commandes ou des ouvrages la faisant passer pour alcoolique ou atteinte de déviances sexuelles, ou encore en s’adressant à son bailleur en prétendant qu’elle souhaitait ouvrir un salon de massage et aménager une pièce de bondage sadomasochiste dès lors qu’elle était déjà active en tant qu’escort, ne pouvant au demeurant pas ignorer la fausseté de ses allégations, O.________ s’est rendu coupable de calomnie (art. 174 CP). Le comportement global du prévenu doit être qualifié de menaçant et il est évident qu’il a eu cet effet sur la victime ; dans ce contexte d’ailleurs, l’envoi d’une gerbe de deuil doit également être qualifié de menace en soi, contrairement à ce qu’a retenu le premier juge. Enfin, par ledit comportement menaçant, O.________ ne pouvait pas ignorer que Q.________ serait entravée dans sa liberté d’action contre sa volonté, que ce soit en devant renvoyer les divers envois qu’elle recevait et contester les factures, en devant s’expliquer auprès de ses collègues ou encore en devant entreprendre diverses démarches, notamment auprès de son bailleur. Il s’ensuit que la condamnation de O.________ pour calomnie, menaces et contrainte doit également être confirmée.</w:t>
      </w:r>
    </w:p>
    <w:p>
      <w:r>
        <w:rPr>
          <w:b/>
        </w:rPr>
        <w:t>E. 6</w:t>
      </w:r>
    </w:p>
    <w:p>
      <w:r>
        <w:t>L’appelant ne conteste la peine de 180 jours-amende à 30 fr. et l’amende de 600 fr. qui lui ont été infligées que dans la mesure où il a conclu à son acquittement. A titre subsidiaire, il a conclu à être exempté de peine.</w:t>
      </w:r>
    </w:p>
    <w:p>
      <w:r>
        <w:t>- 30 -</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 ATF 144 IV 313 consid. 1.1.1). Le prononcé d'une peine d'ensemble en application du principe de l'aggravation contenu à l'art. 49 CP n'est ensuite possible que si le juge choisit, dans le</w:t>
      </w:r>
    </w:p>
    <w:p>
      <w:r>
        <w:t>- 31 -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6B_434/2021 du 7 avril 2022 consid. 3.3).</w:t>
      </w:r>
    </w:p>
    <w:p>
      <w:r>
        <w:rPr>
          <w:b/>
        </w:rPr>
        <w:t>E. 6.2</w:t>
      </w:r>
    </w:p>
    <w:p>
      <w:r>
        <w:t>En l’espèce, on ne voit pas pour quel motif il conviendrait d’exempter O.________ de toute peine. Il ne remplit en effet pas les conditions légales pour bénéficier d’une exemption, dès lors que sa culpabilité et les conséquences de ses actes ne sont pas de peu d’importance au sens de l’art. 52 CP, qu’il n’a adopté aucun comportement réparateur au sens de l’art. 53 CP et qu’il n’a pas non plus été atteint par les conséquences de ses actes au sens de l’art. 54 CP. Le premier juge a considéré que la culpabilité de O.________ n’était pas négligeable. Qu’il puisse ou non reprocher à la plaignante un tempérament autoritaire voire tyrannique, rien ne l’autorisait à se comporter comme il l’avait fait. Il n’avait pas hésité à harceler sa victime quasi-quotidiennement durant une quinzaine de jours, et ne pouvait ignorer qu’elle serait affectée par cette situation, ce dont il s’était accommodé. A décharge, le tribunal a retenu que le prévenu souffrait lui- même de troubles psychologiques importants et qu’il traversait une</w:t>
      </w:r>
    </w:p>
    <w:p>
      <w:r>
        <w:t>- 32 - mauvaise période lorsqu’il se trouvait au Cambodge, ses troubles étant susceptibles de l’empêcher de raisonner convenablement. A ces considérations, partagées par la Cour de céans, on peut encore ajouter l’acharnement dont a fait preuve l’intéressé dans son entreprise de harcèlement, une mauvaise collaboration à l’enquête, une absence totale de prise de conscience et un mépris pour la victime, encore affiché à l’audience d’appel, le prévenu n’ayant pas hésité à tirer argument du fait que sa victime parvenait à vivre une vie normale pour en déduire qu’elle n’avait donc pas souffert. Le prévenu n’ayant pas d’antécédent, on peut admettre qu’une peine pécuniaire avec sursis sera susceptible d’avoir un effet préventif. L’infraction la plus grave, soit les lésions corporelles simples, sera sanctionnée d’une peine pécuniaire de 90 jours-amende, laquelle sera augmentée par l’effet du concours de 30 jours-amende pour chacune des trois autres infractions commises, et qui s’inscrivent dans le même contexte, soit 180 jours-amende au total. La quotité du jour-amende, fixée à 30 fr., est adaptée à la situation financière du prévenu et est également adéquate, tout comme l’amende de 600 fr. prononcée à titre de sanction immédiate. Les peines prononcées par le premier juge seront donc confirmées.</w:t>
      </w:r>
    </w:p>
    <w:p>
      <w:r>
        <w:rPr>
          <w:b/>
        </w:rPr>
        <w:t>E. 7</w:t>
      </w:r>
    </w:p>
    <w:p>
      <w:r>
        <w:t>Au vu de ce qui précède, l’appel de O.________ doit être rejeté et il sera pris acte du retrait de l’appel de la partie plaignante, le jugement entrepris devant dès lors être entièrement confirmé. Compte tenu du sort de l’appel, les conclusions déposées à l’audience par O.________ en indemnisation au sens de l’art. 429 al. 1 let. b et c CPP (dommage occasionné par la procédure et tort moral) doivent être rejetées.</w:t>
      </w:r>
    </w:p>
    <w:p>
      <w:r>
        <w:t>- 33 - Le défenseur d’office de O.________ a produit en audience une liste d’opérations faisant état d’une activité de 18,5 heures, ce qui est quelque peu excessif. Le temps de 210 minutes allégué pour la rédaction de l’appel – non motivé – sera réduit de 150 minutes. Le temps de 450 minutes allégué pour la préparation de l’audience est par ailleurs disproportionné au regard de la complexité de la cause, et sera également réduit de 150 minutes. Le temps consacré à l’audience d’appel sera ajouté. C’est ainsi une indemnité de 3'391 fr. 90 qui sera allouée à Me Andres Perez pour la procédure d’appel, correspondant à 16,5 heures d’avocat au tarif horaire de 180 fr., à 59 fr. 40 de débours au taux forfaitaire de 2% (cf. art. 3bis al. 1 RAJ [Règlement sur l’assistance judiciaire en matière civile du 7 décembre 2010 ; BLV 211.02.3], applicable par renvoi de l’art. 26b TFIP [Tarif des frais de procédure et indemnités en matière pénale du 28 septembre 2010; BLV 312.03.1]). –, à 120 fr. de vacation et à 242 fr. 90 de TVA. Q.________, qui obtient gain de cause et qui a procédé avec l’assistance d’un avocat de choix, a droit à une indemnité pour les dépenses occasionnées par la procédure d’appel (art. 429 al. 1 let. a CPP, applicable par renvoi de l’art. 436 al. 1 CPP), à la charge de O.________. La liste des opérations produite par Me Charlotte Iselin, qui fait état de 5 heures et 5 minutes d’activité, ne prête pas le flanc à la critique, étant précisé que l’activité consacrée à l’appel de Q.________ – retiré – n’a pas été comptabilisé. Cela étant, le tarif horaire appliqué, de 350 fr., ne se justifie pas par la complexité de la cause et sera dès lors abaissé à 300 fr. (cf. art. 26a al. 3 TFIP). Le défraiement de l’avocate sera ainsi arrêté à 1'816 fr. 60 pour la procédure d’appel, correspondant à 5,12 heures d’avocat au tarif horaire de 300 fr., à 30 fr. 70 de débours au taux forfaitaire de 2%, à 120 fr. de vacation et à 129 fr. 90 de TVA. Vu l’issue de la cause, les frais de la procédure d’appel, par 6'841 fr. 90, constitués des émoluments de jugement et d’audience (art. 21 al. 1 et 2 TFIP), par 3’450 fr., ainsi que de l’indemnité d’office précitée, seront mis à la charge de O.________, qui succombe (art. 428 al. 1 CPP).</w:t>
      </w:r>
    </w:p>
    <w:p>
      <w:r>
        <w:t>- 34 - O.________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