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PE19.014310 vom 10. November 2020</w:t>
      </w:r>
    </w:p>
    <w:p>
      <w:r>
        <w:t>VD Tribunal cantonal, 2020-11-10, FR</w:t>
      </w:r>
    </w:p>
    <w:p>
      <w:r>
        <w:rPr>
          <w:b/>
        </w:rPr>
        <w:t xml:space="preserve">Quelle: </w:t>
      </w:r>
      <w:r>
        <w:t>https://mcp.opencaselaw.ch/entscheid/vd_gerichte_PE19.014310</w:t>
      </w:r>
    </w:p>
    <w:p>
      <w:r>
        <w:t>FR: VD_GERICHTE PE19.014310 du 10 novembre 2020</w:t>
      </w:r>
    </w:p>
    <w:p>
      <w:r>
        <w:t>IT: VD_GERICHTE PE19.014310 del 10 novembre 2020</w:t>
      </w:r>
    </w:p>
    <w:p>
      <w:pPr>
        <w:pStyle w:val="Heading2"/>
      </w:pPr>
      <w:r>
        <w:t>Erwägungen</w:t>
      </w:r>
    </w:p>
    <w:p>
      <w:r>
        <w:rPr>
          <w:b/>
        </w:rPr>
        <w:t>E. 3.1</w:t>
      </w:r>
    </w:p>
    <w:p>
      <w:r>
        <w:t>La recourante soutient que l'infraction de tentative de contrainte serait réalisée. Elle allègue que l’intimée a admis qu’elle avait voulu « réagir aux pressions » dont elle faisait l’objet, que le montant et les intérêts réclamés sont non seulement exorbitants, mais également infondés puisque tous les frais avaient été réglés dans l’avenant au contrat forfaitaire de construction, que l’interruption de la prescription n’était qu’un prétexte pour l’entraver et lui causer le maximum de désagréments et que l’intimée n’a donc pas agi de bonne foi comme elle le prétend.</w:t>
      </w:r>
    </w:p>
    <w:p>
      <w:r>
        <w:rPr>
          <w:b/>
        </w:rPr>
        <w:t>E. 3.2</w:t>
      </w:r>
    </w:p>
    <w:p>
      <w:r>
        <w:t>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w:t>
      </w:r>
    </w:p>
    <w:p>
      <w:r>
        <w:t>- 7 - de moyens de contrainte qui, par leur intensité et leur effet, sont analogues à ceux qui sont cités expressément par la loi (TF 6B_1100/2018 du 17 décembre 2018 consid. 3.3 et les références).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somme est licite. En revanche, utiliser un tel procédé comme moyen de pression est clairement abusif, donc illicite (ibidem).</w:t>
      </w:r>
    </w:p>
    <w:p>
      <w:r>
        <w:rPr>
          <w:b/>
        </w:rPr>
        <w:t>E. 3.3</w:t>
      </w:r>
    </w:p>
    <w:p>
      <w:r>
        <w:t>En l’espèce, le Ministère public a retenu que le montant réclamé paraissait largement surfait, que la prévenue avait laissé entendre en audience que le solde dû par la plaignante était résolument inférieur au montant qui figurait sur le commandement de payer, que même si le motif de vouloir interrompre la prescription pouvait paraître discutable au vu des montants réclamés qui semblaient en décalage avec la situation réelle, cela n’était pas pénalement répréhensible dès lors qu’il ne s’agissait pas d’un acte entravant une personne dans sa liberté d’action, et que la prévenue avait maintenu qu’elle avait agi de bonne foi. Le raisonnement du procureur ne résiste pas à l’application du principe in dubio pro duriore. En effet, durant son audition du 22 juin 2020, l’intimée a admis « qu’il était peut-être aussi question de réagir aux</w:t>
      </w:r>
    </w:p>
    <w:p>
      <w:r>
        <w:t>- 8 - pressions dont nous faisions l’objet, même si ce n’était pas là l’objectif principal. Nous restons humains » (PV aud. 1, lignes 55-56), ce qui démontre déjà que sa motivation n’était pas uniquement d’ordre pécuniaire. S’agissant de l’argument selon lequel elle voulait interrompre la prescription, la prévenue se justifie de manière contradictoire : d’un côté, elle dit qu’elle s’adresse à ses mandataires lorsqu’elle veut connaître la réponse à des questions juridiques, telle celle du délai de prescription du contrat d’entreprise, et, de l’autre côté, elle admet qu’elle n’a demandé conseil à personne lorsqu’il s’est agi de remplir la réquisition de poursuite parce qu’elle voulait interrompre la prescription (PV aud. 1, lignes 82-86). De plus, le délai de prescription, qui est de dix ans, était loin d’arriver à échéance. Les déclarations de l’intimée sont par ailleurs floues : elle dit qu’elle ne se souvient « plus vraiment » si c’est Michel Badertscher ou elle qui a eu l’idée de la poursuite ; elle dit aussi qu’elle se souvient que c’est sa secrétaire qui a rédigé à sa demande la réquisition de poursuite mais, en revanche, elle prétend qu’elle ne se souvient pas de l’identité de celle- ci dans la mesure où il y a eu « beaucoup de changements dans le personnel » (PV aud. 1, lignes 72-74), ce qui n’est pas crédible concernant une petite société. Enfin, la prévenue ne donne aucune explication convaincante sur le fondement de la somme de 450'000 fr. : elle dit qu’elle ne se souvient « plus vraiment » pourquoi elle a réclamé un tel montant et qu’elle ne peut que répéter que le maître de l’ouvrage lui doit encore une somme oscillant entre 50'000 et 60'000 fr. (PV aud. 1, lignes 77-81). Dès lors que la créance de 450'000 fr. semble infondée et que l’intimée a admis qu’elle avait riposté à un comportement de la recourante qui ne lui plaisait pas, force est de constater qu’une condamnation apparaît plus vraisemblable qu’un acquittement. Le prononcé d’une ordonnance de classement n’était par conséquent pas envisageable en l’état. Cela étant, vu les déclarations incomplètes de la prévenue, il y a lieu d’instruire plus avant sur la question de savoir qui a décidé de faire notifier le commandement de payer. Il pourrait s’agir de l’intimée ou de</w:t>
      </w:r>
    </w:p>
    <w:p>
      <w:r>
        <w:t>- 9 - Michel Badertscher, qui ont cosigné le contrat d’entreprise, d’une autre personne au sein de Cogespro Building SA, voire même d’une personne au sein de la fiduciaire François Chuard SA. Il appartiendra donc au Ministère public d’éclaircir ce point, notamment en auditionnant Markus Diblitz, puis Michel Badertscher, ainsi que toute personne qu’il estimera nécessaire au fur et à mesure de l’avancement de l’instruction. Il serait par ailleurs utile de demander à l’Office des poursuites du district de la Riviera – Pays- d’Enhaut une copie de la réquisition de poursuite afin de savoir qui l’a rédigée et signée.</w:t>
      </w:r>
    </w:p>
    <w:p>
      <w:r>
        <w:rPr>
          <w:b/>
        </w:rPr>
        <w:t>E. 4</w:t>
      </w:r>
    </w:p>
    <w:p>
      <w:r>
        <w:t>Il résulte de ce qui précède que le recours doit être admis, l'ordonnance entreprise annulée et le dossier de la cause renvoyé au Ministère public pour qu’il procède dans le sens des considérants. Les frais de la procédure de recours sont fixés à 990 fr. (art. 20 al. 1 TFIP [Tarif des frais de procédure et indemnités en matière pénale du 28 septembre 2010 ; BLV 312.03.1]). La recourante, qui a procédé avec l’assistance d’un avocat de choix, a droit à une indemnité pour les dépenses occasionnées par la procédure de recours. Cette indemnité sera fixée à 1’200 fr., sur la base de 4 heures d’activité au tarif horaire d’avocat de 300 fr. (art. 26a al. 3 TFIP), à laquelle s’ajoutent 2 % pour les débours (art. 19 al. 2 TDC [Tarif des dépens en matière civile du 23 novembre 2010 ; BLV 270.11.6] par renvoi de l'art. 26a al. 6 TFIP) et 7,7 % pour la TVA, ce qui correspond à la somme totale de 1’319 francs. Les frais de la procédure de recours et l’indemnité allouée à la recourante seront mis à la charge de Martine Badertscher, qui a conclu au rejet du recours et qui succombe (art. 428 al. 1 CPP).</w:t>
      </w:r>
    </w:p>
    <w:p>
      <w:r>
        <w:t>- 10 - Par ces motifs, la Chambre des recours pénale prononce : I. Le recours est admis. II. L’ordonnance du 13 août 2020 est annulée. III. Le dossier de la cause est renvoyé au Ministère public de l'arrondissement du Nord vaudois pour qu'il procède dans le sens des considérants. IV. Les frais d’arrêt, par 990 fr. (neuf cent nonante francs), sont mis à la charge de Martine Badertscher. V. Une indemnité de 1’319 fr. (mille trois cent dix-neuf francs) est allouée à la Société coopérative Hübeli pour la procédure de recours, à la charge de Martine Badertscher. VI. L’arrêt est exécutoire. Le président : La greffière : Du Le présent arrêt, dont la rédaction a été approuvée à huis clos, est notifié, par l'envoi d'une copie complète, à : - Me Pierre-Xavier Luciani, avocat (pour la Société coopérative Hübeli), - Me Alain Vuithier, avocat (pour Martine Badertscher) - Ministère public central, et communiqué à : - M. le Procureur de l’arrondissement de l’Est vaudois,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