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PE19.014287 vom 30. September 2019</w:t>
      </w:r>
    </w:p>
    <w:p>
      <w:r>
        <w:t>VD Tribunal cantonal, 2019-09-30, FR</w:t>
      </w:r>
    </w:p>
    <w:p>
      <w:r>
        <w:rPr>
          <w:b/>
        </w:rPr>
        <w:t xml:space="preserve">Quelle: </w:t>
      </w:r>
      <w:r>
        <w:t>https://mcp.opencaselaw.ch/entscheid/vd_gerichte_PE19.014287</w:t>
      </w:r>
    </w:p>
    <w:p>
      <w:r>
        <w:t>FR: VD_GERICHTE PE19.014287 du 30 septembre 2019</w:t>
      </w:r>
    </w:p>
    <w:p>
      <w:r>
        <w:t>IT: VD_GERICHTE PE19.014287 del 30 settembre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de A.T.________ est recevable.</w:t>
      </w:r>
    </w:p>
    <w:p>
      <w:r>
        <w:t>- 5 -</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(ATF 137 IV 285 consid. 2.3 p. 287).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invoque tout d’abord la violation de son droit d’être entendu, faisant valoir qu’aucune confrontation entre les parties n’a été organisée, qu’il n’a pas été invité à assister aux auditions d’L.________ et de D.________, et qu’il n’a donc pas pu leur poser des questions.</w:t>
      </w:r>
    </w:p>
    <w:p>
      <w:r>
        <w:t>- 6 -</w:t>
      </w:r>
    </w:p>
    <w:p>
      <w:r>
        <w:rPr>
          <w:b/>
        </w:rPr>
        <w:t>E. 3.2</w:t>
      </w:r>
    </w:p>
    <w:p>
      <w:r>
        <w:t>Le droit d'être entendu, tel qu'il est garanti par l'art. 29 al. 2 Cst. (Constitution fédérale du 18 avril 1999 ; RS 101) et, en procédure pénale, par l'art. 107 CPP, comprend notamment pour le justiciable le droit d'obtenir l'administration des preuves pertinentes et valablement offertes, lorsque cela est de nature à influer sur la décision à rendre (TF 1B_526/2012 consid. 2.1 ; ATF 133 I 270 consid. 3.1 ; ATF 126 I 15 consid. 2a/aa ; ATF 124 I 49 consid. 3a). Le droit d’être entendu n’est pas accordé aux parties dans le cadre de l’ordonnance de non-entrée en matière ; elles doivent faire valoir leurs droits par le biais d’un recours au sens des art. 393 ss CPP (CREP 19 avril 2016/253 ; Moreillon/Parein-Reymond, Petit commentaire, Code de procédure pénale, 2e éd., Bâle 2016, n. 20 ad art. 310 CPP ; CREP 3 décembre 2018/938 consid. 2.2).</w:t>
      </w:r>
    </w:p>
    <w:p>
      <w:r>
        <w:rPr>
          <w:b/>
        </w:rPr>
        <w:t>E. 3.3</w:t>
      </w:r>
    </w:p>
    <w:p>
      <w:r>
        <w:t>En l’espèce, le recourant s’est exprimé par le dépôt de sa plainte, dans laquelle il a pu exposer l’intégralité de ses soupçons et de ses moyens. Aucune instruction n’a été ouverte par le Ministère public qui a refusé d'entrer en matière peu de temps après la réception du rapport d’investigation établi par la police (P. 6), sans ordonner de mesures d’instruction supplémentaires. Dans cette mesure, l'art. 318 CPP (droit du plaignant de présenter des réquisitions de preuves) n’était pas applicable, de sorte que le droit d’être entendu du recourant n’a pas été violé, le plaignant devant requérir ses éventuelles preuves complémentaires dans le cadre d’un recours.</w:t>
      </w:r>
    </w:p>
    <w:p>
      <w:r>
        <w:rPr>
          <w:b/>
        </w:rPr>
        <w:t>E. 4.1</w:t>
      </w:r>
    </w:p>
    <w:p>
      <w:r>
        <w:t>Le recourant conteste l’ordonnance de non-entrée en matière uniquement en tant qu’elle concerne la plainte qu’il a déposée contre L.________ pour faux dans les titres. Il fait valoir que le but d’L.________ était de mettre fin à un bail dont les loyers n’étaient pas payés pour éviter de devoir s’en acquitter elle-même puisqu’elle s’était portée garante, qu’elle a porté préjudice à A.T.________ et à son épouse, titulaires du bail, qui n’étaient pas d’accord de résilier le bail à loyer de leur logement familial, que l’on ne saurait accorder la moindre crédibilité au témoin D.________ qui est mineure et employée d’L.________ et que les conditions de l’infraction</w:t>
      </w:r>
    </w:p>
    <w:p>
      <w:r>
        <w:t>- 7 - de l’art. 251 CP (Code pénal du 21 décembre 1937; RS 311.0) sont réalisées.</w:t>
      </w:r>
    </w:p>
    <w:p>
      <w:r>
        <w:rPr>
          <w:b/>
        </w:rPr>
        <w:t>E. 4.2</w:t>
      </w:r>
    </w:p>
    <w:p>
      <w:r>
        <w:t>Selon l'art.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w:t>
      </w:r>
    </w:p>
    <w:p>
      <w:r>
        <w:rPr>
          <w:b/>
        </w:rPr>
        <w:t>E. 4.3</w:t>
      </w:r>
    </w:p>
    <w:p>
      <w:r>
        <w:t>En l’occurrence, il est établi que la lettre résiliant le bail à loyer de l’appartement loué par A.T.________ et son épouse a bien été rédigée, signée et envoyée sous pli recommandé par L.________. Garante du loyer, L.________ a signé la lettre de résiliation litigieuse au nom de sa société et a imité les signatures de A.T.________ et de C.T.________. Lors de son audition, L.________ a expliqué qu’elle avait signé ce document avec l’accord du recourant et de son épouse. Sa version a été confirmée par son apprentie D.________, qui a déclaré à la police qu’elle était présente lors de la discussion, qu’elle avait tout entendu car L.________ avait enclenché le haut-parleur, que A.T.________ avait dit qu’il allait quitter l’appartement pour le 15 mars 2019 et qu’il avait autorisé L.________ à rédiger et à signer pour lui la lettre de résiliation de son bail (PV aud. 8). La question de savoir si le témoignage de l’apprentie pouvait suffire à disculper L.________ peut rester ouverte, puisque les messages WhatsApp échangés par les deux protagonistes démontrent à eux seuls que la résiliation du bail litigieux a bien été faite avec l’accord du recourant. Lorsqu’L.________ a écrit à A.T.________, le 18 février 2019, pour lui dire qu’elle avait une bonne nouvelle, qu’elle avait reçu confirmation que le bail prenait fin le 15 mars 2019, qu’elle ne connaissait pas encore l’heure de remise des clés et qu’elle lui demandait de lui faire part de ses préférences, A.T.________ lui a répondu le 26 février 2019 « Je peux pas répondre dis-moi par message », de sorte qu’il ne peut prétendre que</w:t>
      </w:r>
    </w:p>
    <w:p>
      <w:r>
        <w:t>- 8 - cette résiliation a été faite à son insu et sans son accord. La plainte du recourant apparaît donc abusive. Certes l’infraction de faux dans les titres se poursuit d’office. Or, le fait de signer, au nom d’un tiers et avec le consentement de cette personne, n’est pas constitutif d’un faux dans les titres (Moreillon/Parein- Reymond, op. cit., n. 21 ad art. 251 CP et, a contrario, n. 20 ad art. 251 CP). Au vu de ce qui précède, un des éléments constitutifs de l’infraction de faux dans les titres n’est pas réalisé, de sorte que l’ordonnance de non-entrée en matière ne prête pas le flanc à la critique. Au demeurant, on ne voit pas quels éléments supplémentaires auraient pu conduire à l’ouverture d’une instruction pénale.</w:t>
      </w:r>
    </w:p>
    <w:p>
      <w:r>
        <w:rPr>
          <w:b/>
        </w:rPr>
        <w:t>E. 5</w:t>
      </w:r>
    </w:p>
    <w:p>
      <w:r>
        <w:t>En définitive, le recours interjeté par A.T.________, manifestement mal fondé, doit être rejeté sans échange d’écritures (art. 390 al. 2 CPP) et l’ordonnance de non-entrée en matière du 12 août 2019 confirmée. Les frais de la procédure de recours, constitués en l’espèce du seul émolument d’arrêt (art. 422 al. 1 CPP), par 880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12 août 2019 est confirmée. III. Les frais de la procédure de recours, par 880 fr. (huit cent huitante francs), sont mis à la charge de A.T.________.</w:t>
      </w:r>
    </w:p>
    <w:p>
      <w:r>
        <w:t>- 9 - IV. L’arrêt est exécutoire. Le président : La greffière : Du Le présent arrêt, dont la rédaction a été approuvée à huis clos, est notifié, par l'envoi d'une copie complète, à : - Me Corinne Arpin, avocate (pour A.T.________), - Mme 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